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159" w:rsidRPr="009F2376" w:rsidRDefault="006E0159" w:rsidP="00A9294E">
      <w:pPr>
        <w:spacing w:after="0" w:line="480" w:lineRule="auto"/>
        <w:jc w:val="center"/>
        <w:rPr>
          <w:rFonts w:ascii="Times New Roman" w:hAnsi="Times New Roman"/>
          <w:b/>
          <w:sz w:val="28"/>
          <w:szCs w:val="28"/>
          <w:u w:val="single"/>
        </w:rPr>
      </w:pPr>
      <w:r w:rsidRPr="009F2376">
        <w:rPr>
          <w:rFonts w:ascii="Times New Roman" w:hAnsi="Times New Roman"/>
          <w:b/>
          <w:sz w:val="28"/>
          <w:szCs w:val="28"/>
          <w:u w:val="single"/>
        </w:rPr>
        <w:t xml:space="preserve">SOME FUNDAMENTAL AND FINE POINTS IN USES OF LIFE INSURANCE IN </w:t>
      </w:r>
    </w:p>
    <w:p w:rsidR="006E0159" w:rsidRPr="009F2376" w:rsidRDefault="006E0159" w:rsidP="00A9294E">
      <w:pPr>
        <w:spacing w:after="0" w:line="480" w:lineRule="auto"/>
        <w:jc w:val="center"/>
        <w:rPr>
          <w:rFonts w:ascii="Times New Roman" w:hAnsi="Times New Roman"/>
          <w:b/>
          <w:sz w:val="28"/>
          <w:szCs w:val="28"/>
          <w:u w:val="single"/>
        </w:rPr>
      </w:pPr>
      <w:r w:rsidRPr="009F2376">
        <w:rPr>
          <w:rFonts w:ascii="Times New Roman" w:hAnsi="Times New Roman"/>
          <w:b/>
          <w:sz w:val="28"/>
          <w:szCs w:val="28"/>
          <w:u w:val="single"/>
        </w:rPr>
        <w:t>ESTATE AND FINANCIAL PLANNING</w:t>
      </w:r>
    </w:p>
    <w:p w:rsidR="006E0159" w:rsidRPr="009F2376" w:rsidRDefault="006E0159" w:rsidP="00013DE3">
      <w:pPr>
        <w:spacing w:after="0" w:line="240" w:lineRule="auto"/>
        <w:jc w:val="center"/>
        <w:rPr>
          <w:rFonts w:ascii="Times New Roman" w:hAnsi="Times New Roman"/>
          <w:b/>
        </w:rPr>
      </w:pPr>
      <w:proofErr w:type="gramStart"/>
      <w:r w:rsidRPr="009F2376">
        <w:rPr>
          <w:rFonts w:ascii="Times New Roman" w:hAnsi="Times New Roman"/>
          <w:b/>
        </w:rPr>
        <w:t>©2011 by JONATHAN G. BLATTMACHR.</w:t>
      </w:r>
      <w:proofErr w:type="gramEnd"/>
      <w:r w:rsidRPr="009F2376">
        <w:rPr>
          <w:rFonts w:ascii="Times New Roman" w:hAnsi="Times New Roman"/>
          <w:b/>
        </w:rPr>
        <w:t xml:space="preserve">  All Rights Reserved</w:t>
      </w:r>
    </w:p>
    <w:p w:rsidR="006E0159" w:rsidRDefault="006E0159" w:rsidP="00554090">
      <w:pPr>
        <w:spacing w:after="0" w:line="240" w:lineRule="auto"/>
        <w:rPr>
          <w:rFonts w:ascii="Times New Roman" w:hAnsi="Times New Roman"/>
          <w:b/>
        </w:rPr>
      </w:pPr>
    </w:p>
    <w:p w:rsidR="006E0159" w:rsidRPr="009F2376" w:rsidRDefault="006E0159" w:rsidP="00554090">
      <w:pPr>
        <w:spacing w:after="0" w:line="240" w:lineRule="auto"/>
        <w:rPr>
          <w:rFonts w:ascii="Times New Roman" w:hAnsi="Times New Roman"/>
          <w:b/>
        </w:rPr>
      </w:pPr>
      <w:r w:rsidRPr="009F2376">
        <w:rPr>
          <w:rFonts w:ascii="Times New Roman" w:hAnsi="Times New Roman"/>
          <w:b/>
        </w:rPr>
        <w:t xml:space="preserve">                                        By: Jonathan G. Blattmachr</w:t>
      </w:r>
    </w:p>
    <w:p w:rsidR="006E0159" w:rsidRPr="009F2376" w:rsidRDefault="006E0159" w:rsidP="00554090">
      <w:pPr>
        <w:spacing w:after="0" w:line="240" w:lineRule="auto"/>
        <w:rPr>
          <w:rFonts w:ascii="Times New Roman" w:hAnsi="Times New Roman"/>
          <w:b/>
        </w:rPr>
      </w:pPr>
      <w:r w:rsidRPr="009F2376">
        <w:rPr>
          <w:rFonts w:ascii="Times New Roman" w:hAnsi="Times New Roman"/>
          <w:b/>
        </w:rPr>
        <w:tab/>
      </w:r>
      <w:r w:rsidRPr="009F2376">
        <w:rPr>
          <w:rFonts w:ascii="Times New Roman" w:hAnsi="Times New Roman"/>
          <w:b/>
        </w:rPr>
        <w:tab/>
      </w:r>
      <w:r w:rsidRPr="009F2376">
        <w:rPr>
          <w:rFonts w:ascii="Times New Roman" w:hAnsi="Times New Roman"/>
          <w:b/>
        </w:rPr>
        <w:tab/>
        <w:t xml:space="preserve">   </w:t>
      </w:r>
      <w:r>
        <w:rPr>
          <w:rFonts w:ascii="Times New Roman" w:hAnsi="Times New Roman"/>
          <w:b/>
        </w:rPr>
        <w:t xml:space="preserve">     </w:t>
      </w:r>
      <w:smartTag w:uri="urn:schemas-microsoft-com:office:smarttags" w:element="place">
        <w:smartTag w:uri="urn:schemas-microsoft-com:office:smarttags" w:element="PlaceName">
          <w:r w:rsidRPr="009F2376">
            <w:rPr>
              <w:rFonts w:ascii="Times New Roman" w:hAnsi="Times New Roman"/>
              <w:b/>
            </w:rPr>
            <w:t>Eagle</w:t>
          </w:r>
        </w:smartTag>
        <w:r w:rsidRPr="009F2376">
          <w:rPr>
            <w:rFonts w:ascii="Times New Roman" w:hAnsi="Times New Roman"/>
            <w:b/>
          </w:rPr>
          <w:t xml:space="preserve"> </w:t>
        </w:r>
        <w:smartTag w:uri="urn:schemas-microsoft-com:office:smarttags" w:element="PlaceType">
          <w:r w:rsidRPr="009F2376">
            <w:rPr>
              <w:rFonts w:ascii="Times New Roman" w:hAnsi="Times New Roman"/>
              <w:b/>
            </w:rPr>
            <w:t>River</w:t>
          </w:r>
        </w:smartTag>
      </w:smartTag>
      <w:r w:rsidRPr="009F2376">
        <w:rPr>
          <w:rFonts w:ascii="Times New Roman" w:hAnsi="Times New Roman"/>
          <w:b/>
        </w:rPr>
        <w:t xml:space="preserve"> Advisors</w:t>
      </w:r>
    </w:p>
    <w:p w:rsidR="006E0159" w:rsidRPr="009F2376" w:rsidRDefault="006E0159" w:rsidP="00554090">
      <w:pPr>
        <w:spacing w:after="0" w:line="240" w:lineRule="auto"/>
        <w:rPr>
          <w:rFonts w:ascii="Times New Roman" w:hAnsi="Times New Roman"/>
          <w:b/>
        </w:rPr>
      </w:pPr>
      <w:r w:rsidRPr="009F2376">
        <w:rPr>
          <w:rFonts w:ascii="Times New Roman" w:hAnsi="Times New Roman"/>
          <w:b/>
        </w:rPr>
        <w:tab/>
      </w:r>
      <w:r w:rsidRPr="009F2376">
        <w:rPr>
          <w:rFonts w:ascii="Times New Roman" w:hAnsi="Times New Roman"/>
          <w:b/>
        </w:rPr>
        <w:tab/>
      </w:r>
      <w:r w:rsidRPr="009F2376">
        <w:rPr>
          <w:rFonts w:ascii="Times New Roman" w:hAnsi="Times New Roman"/>
          <w:b/>
        </w:rPr>
        <w:tab/>
        <w:t xml:space="preserve">   </w:t>
      </w:r>
      <w:r>
        <w:rPr>
          <w:rFonts w:ascii="Times New Roman" w:hAnsi="Times New Roman"/>
          <w:b/>
        </w:rPr>
        <w:t xml:space="preserve">     </w:t>
      </w:r>
      <w:r w:rsidRPr="009F2376">
        <w:rPr>
          <w:rFonts w:ascii="Times New Roman" w:hAnsi="Times New Roman"/>
          <w:b/>
        </w:rPr>
        <w:t>New York, NY</w:t>
      </w:r>
      <w:r w:rsidR="00500045">
        <w:rPr>
          <w:rFonts w:ascii="Times New Roman" w:hAnsi="Times New Roman"/>
          <w:b/>
        </w:rPr>
        <w:t xml:space="preserve"> </w:t>
      </w:r>
    </w:p>
    <w:p w:rsidR="006E0159" w:rsidRPr="009F2376" w:rsidRDefault="006E0159" w:rsidP="004D3689">
      <w:pPr>
        <w:spacing w:after="0" w:line="240" w:lineRule="auto"/>
        <w:rPr>
          <w:rFonts w:ascii="Times New Roman" w:hAnsi="Times New Roman"/>
          <w:b/>
        </w:rPr>
      </w:pPr>
      <w:r w:rsidRPr="009F2376">
        <w:rPr>
          <w:rFonts w:ascii="Times New Roman" w:hAnsi="Times New Roman"/>
          <w:b/>
        </w:rPr>
        <w:tab/>
      </w:r>
      <w:r w:rsidRPr="009F2376">
        <w:rPr>
          <w:rFonts w:ascii="Times New Roman" w:hAnsi="Times New Roman"/>
          <w:b/>
        </w:rPr>
        <w:tab/>
      </w:r>
      <w:r w:rsidRPr="009F2376">
        <w:rPr>
          <w:rFonts w:ascii="Times New Roman" w:hAnsi="Times New Roman"/>
          <w:b/>
        </w:rPr>
        <w:tab/>
        <w:t xml:space="preserve">    </w:t>
      </w:r>
    </w:p>
    <w:p w:rsidR="006E0159" w:rsidRPr="009F2376" w:rsidRDefault="006E0159" w:rsidP="00554090">
      <w:pPr>
        <w:spacing w:after="0" w:line="240" w:lineRule="auto"/>
        <w:rPr>
          <w:rFonts w:ascii="Times New Roman" w:hAnsi="Times New Roman"/>
          <w:b/>
        </w:rPr>
      </w:pPr>
    </w:p>
    <w:p w:rsidR="006E0159" w:rsidRPr="009F2376" w:rsidRDefault="006E0159" w:rsidP="005B116E">
      <w:pPr>
        <w:pStyle w:val="ListParagraph"/>
        <w:numPr>
          <w:ilvl w:val="0"/>
          <w:numId w:val="7"/>
        </w:numPr>
        <w:spacing w:after="0" w:line="240" w:lineRule="auto"/>
        <w:rPr>
          <w:rFonts w:ascii="Times New Roman" w:hAnsi="Times New Roman"/>
          <w:b/>
        </w:rPr>
      </w:pPr>
      <w:r w:rsidRPr="009F2376">
        <w:rPr>
          <w:rFonts w:ascii="Times New Roman" w:hAnsi="Times New Roman"/>
          <w:b/>
        </w:rPr>
        <w:t>INTRODUCTION</w:t>
      </w:r>
    </w:p>
    <w:p w:rsidR="006E0159" w:rsidRPr="009F2376" w:rsidRDefault="006E0159" w:rsidP="005B116E">
      <w:pPr>
        <w:pStyle w:val="ListParagraph"/>
        <w:spacing w:after="0" w:line="240" w:lineRule="auto"/>
        <w:ind w:left="1080"/>
        <w:rPr>
          <w:rFonts w:ascii="Times New Roman" w:hAnsi="Times New Roman"/>
        </w:rPr>
      </w:pPr>
      <w:r w:rsidRPr="009F2376">
        <w:rPr>
          <w:rFonts w:ascii="Times New Roman" w:hAnsi="Times New Roman"/>
        </w:rPr>
        <w:t xml:space="preserve">Life insurance long has been, and probably will continue to be, a key aspect of financial and estate planning for many individuals.  However, it is one of the least understood types of property.  For many purposes, life insurance is treated differently than other assets.  Such special treatment often means that life insurance can be used to achieve special results compared to other property interests.  In order to determine the most effective uses of life insurance, it is appropriate to become familiar with certain financial aspects of life insurance and some of the special property and tax rules that apply to this unique asset.  This article will explain why term insurance is the only real type of life insurance and why everything else dealing with a policy is really an investment choice.  Nonetheless, it will explain how these different investment choices can provide different benefits.  It also will explain how it is possible to make the cost of term insurance income tax deductible and how insurance can be used to substantially increase investment yields.  </w:t>
      </w:r>
    </w:p>
    <w:p w:rsidR="006E0159" w:rsidRPr="009F2376" w:rsidRDefault="006E0159" w:rsidP="005B116E">
      <w:pPr>
        <w:spacing w:after="0" w:line="240" w:lineRule="auto"/>
        <w:rPr>
          <w:rFonts w:ascii="Times New Roman" w:hAnsi="Times New Roman"/>
        </w:rPr>
      </w:pPr>
    </w:p>
    <w:p w:rsidR="006E0159" w:rsidRPr="009F2376" w:rsidRDefault="006E0159" w:rsidP="00716C54">
      <w:pPr>
        <w:pStyle w:val="ListParagraph"/>
        <w:numPr>
          <w:ilvl w:val="0"/>
          <w:numId w:val="7"/>
        </w:numPr>
        <w:spacing w:after="0" w:line="240" w:lineRule="auto"/>
        <w:rPr>
          <w:rFonts w:ascii="Times New Roman" w:hAnsi="Times New Roman"/>
          <w:b/>
        </w:rPr>
      </w:pPr>
      <w:r w:rsidRPr="009F2376">
        <w:rPr>
          <w:rFonts w:ascii="Times New Roman" w:hAnsi="Times New Roman"/>
          <w:b/>
        </w:rPr>
        <w:t>TYPES OF PRODUCTS</w:t>
      </w:r>
    </w:p>
    <w:p w:rsidR="006E0159" w:rsidRPr="009F2376" w:rsidRDefault="006E0159" w:rsidP="00716C54">
      <w:pPr>
        <w:pStyle w:val="ListParagraph"/>
        <w:spacing w:after="0" w:line="240" w:lineRule="auto"/>
        <w:ind w:left="1080"/>
        <w:rPr>
          <w:rFonts w:ascii="Times New Roman" w:hAnsi="Times New Roman"/>
        </w:rPr>
      </w:pPr>
      <w:r w:rsidRPr="009F2376">
        <w:rPr>
          <w:rFonts w:ascii="Times New Roman" w:hAnsi="Times New Roman"/>
        </w:rPr>
        <w:t>If you ask most people in the insurance industry, you will be advised that there are two basic types of life insurance: term and cash value.  Indeed, the management of some insurance companies is aligned on the basis of term products and cash value products.  Often, there is considerable rivalry between the two with the cash value side referring to those on the term side as “termites.”</w:t>
      </w:r>
    </w:p>
    <w:p w:rsidR="006E0159" w:rsidRPr="009F2376" w:rsidRDefault="006E0159" w:rsidP="00716C54">
      <w:pPr>
        <w:pStyle w:val="ListParagraph"/>
        <w:spacing w:after="0" w:line="240" w:lineRule="auto"/>
        <w:ind w:left="1080"/>
        <w:rPr>
          <w:rFonts w:ascii="Times New Roman" w:hAnsi="Times New Roman"/>
        </w:rPr>
      </w:pPr>
    </w:p>
    <w:p w:rsidR="006E0159" w:rsidRPr="009F2376" w:rsidRDefault="006E0159" w:rsidP="0052526A">
      <w:pPr>
        <w:pStyle w:val="ListParagraph"/>
        <w:spacing w:after="0" w:line="240" w:lineRule="auto"/>
        <w:ind w:left="1080"/>
        <w:rPr>
          <w:rFonts w:ascii="Times New Roman" w:hAnsi="Times New Roman"/>
        </w:rPr>
      </w:pPr>
      <w:r w:rsidRPr="009F2376">
        <w:rPr>
          <w:rFonts w:ascii="Times New Roman" w:hAnsi="Times New Roman"/>
        </w:rPr>
        <w:t>In fact, there is only one real type of life insurance and that is term insurance.  A cash value policy is a coupling of a term policy with an investment feature or component.  Although the investment component is treated as life insurance for certain tax, securities and state law purposes, from a financial and risk perspective it is not really insurance.</w:t>
      </w:r>
    </w:p>
    <w:p w:rsidR="006E0159" w:rsidRPr="009F2376" w:rsidRDefault="006E0159" w:rsidP="0052526A">
      <w:pPr>
        <w:pStyle w:val="ListParagraph"/>
        <w:spacing w:after="0" w:line="240" w:lineRule="auto"/>
        <w:ind w:left="1080"/>
        <w:rPr>
          <w:rFonts w:ascii="Times New Roman" w:hAnsi="Times New Roman"/>
        </w:rPr>
      </w:pPr>
    </w:p>
    <w:p w:rsidR="006E0159" w:rsidRDefault="006E0159" w:rsidP="0052526A">
      <w:pPr>
        <w:pStyle w:val="ListParagraph"/>
        <w:numPr>
          <w:ilvl w:val="0"/>
          <w:numId w:val="13"/>
        </w:numPr>
        <w:spacing w:after="0" w:line="240" w:lineRule="auto"/>
        <w:rPr>
          <w:rFonts w:ascii="Times New Roman" w:hAnsi="Times New Roman"/>
          <w:b/>
        </w:rPr>
      </w:pPr>
      <w:r w:rsidRPr="009F2376">
        <w:rPr>
          <w:rFonts w:ascii="Times New Roman" w:hAnsi="Times New Roman"/>
          <w:b/>
        </w:rPr>
        <w:t>Term Insurance</w:t>
      </w:r>
    </w:p>
    <w:p w:rsidR="006E0159" w:rsidRPr="009F2376" w:rsidRDefault="006E0159" w:rsidP="000E0721">
      <w:pPr>
        <w:pStyle w:val="ListParagraph"/>
        <w:spacing w:after="0" w:line="240" w:lineRule="auto"/>
        <w:ind w:left="1440"/>
        <w:rPr>
          <w:rFonts w:ascii="Times New Roman" w:hAnsi="Times New Roman"/>
          <w:b/>
        </w:rPr>
      </w:pPr>
    </w:p>
    <w:p w:rsidR="006E0159" w:rsidRPr="009F2376" w:rsidRDefault="006E0159" w:rsidP="0052526A">
      <w:pPr>
        <w:pStyle w:val="ListParagraph"/>
        <w:numPr>
          <w:ilvl w:val="0"/>
          <w:numId w:val="14"/>
        </w:numPr>
        <w:spacing w:after="0" w:line="240" w:lineRule="auto"/>
        <w:rPr>
          <w:rFonts w:ascii="Times New Roman" w:hAnsi="Times New Roman"/>
          <w:b/>
        </w:rPr>
      </w:pPr>
      <w:r w:rsidRPr="009F2376">
        <w:rPr>
          <w:rFonts w:ascii="Times New Roman" w:hAnsi="Times New Roman"/>
          <w:b/>
        </w:rPr>
        <w:t>Most of Insurance Is Term Insurance</w:t>
      </w:r>
    </w:p>
    <w:p w:rsidR="006E0159" w:rsidRPr="009F2376" w:rsidRDefault="006E0159" w:rsidP="00AE7CBC">
      <w:pPr>
        <w:spacing w:after="0" w:line="240" w:lineRule="auto"/>
        <w:ind w:left="1440"/>
        <w:rPr>
          <w:rFonts w:ascii="Times New Roman" w:hAnsi="Times New Roman"/>
          <w:b/>
        </w:rPr>
      </w:pPr>
    </w:p>
    <w:p w:rsidR="006E0159" w:rsidRPr="009F2376" w:rsidRDefault="006E0159" w:rsidP="0052526A">
      <w:pPr>
        <w:pStyle w:val="ListParagraph"/>
        <w:spacing w:after="0" w:line="240" w:lineRule="auto"/>
        <w:ind w:left="1800"/>
        <w:rPr>
          <w:rFonts w:ascii="Times New Roman" w:hAnsi="Times New Roman"/>
        </w:rPr>
      </w:pPr>
      <w:r w:rsidRPr="009F2376">
        <w:rPr>
          <w:rFonts w:ascii="Times New Roman" w:hAnsi="Times New Roman"/>
        </w:rPr>
        <w:t>In fact, almost all insurance is term insurance.  Household, automobile, liability, casualty, malpractice and other types of insurance are written for a specific period of time, or term.  Usually, that term is one year.  If the event which is insured against occurs (such as an accident with an automobile), the insurance company pays the coverage as provided under the policy.  A life insurance policy works the same way and, of course, the event insured against with such policy is death.</w:t>
      </w:r>
    </w:p>
    <w:p w:rsidR="006E0159" w:rsidRPr="009F2376" w:rsidRDefault="006E0159" w:rsidP="0052526A">
      <w:pPr>
        <w:pStyle w:val="ListParagraph"/>
        <w:spacing w:after="0" w:line="240" w:lineRule="auto"/>
        <w:ind w:left="1800"/>
        <w:rPr>
          <w:rFonts w:ascii="Times New Roman" w:hAnsi="Times New Roman"/>
        </w:rPr>
      </w:pPr>
    </w:p>
    <w:p w:rsidR="006E0159" w:rsidRPr="009F2376" w:rsidRDefault="006E0159" w:rsidP="0052526A">
      <w:pPr>
        <w:pStyle w:val="ListParagraph"/>
        <w:spacing w:after="0" w:line="240" w:lineRule="auto"/>
        <w:ind w:left="1800"/>
        <w:rPr>
          <w:rFonts w:ascii="Times New Roman" w:hAnsi="Times New Roman"/>
        </w:rPr>
      </w:pPr>
      <w:r w:rsidRPr="009F2376">
        <w:rPr>
          <w:rFonts w:ascii="Times New Roman" w:hAnsi="Times New Roman"/>
        </w:rPr>
        <w:t xml:space="preserve">When someone acquires a term policy, insurance coverage is provided for that term (almost always, one year).  </w:t>
      </w:r>
      <w:proofErr w:type="gramStart"/>
      <w:r w:rsidRPr="009F2376">
        <w:rPr>
          <w:rFonts w:ascii="Times New Roman" w:hAnsi="Times New Roman"/>
        </w:rPr>
        <w:t>If the insured dies within that term, the beneficiaries will be paid as provided under the policy.</w:t>
      </w:r>
      <w:proofErr w:type="gramEnd"/>
      <w:r w:rsidRPr="009F2376">
        <w:rPr>
          <w:rFonts w:ascii="Times New Roman" w:hAnsi="Times New Roman"/>
        </w:rPr>
        <w:t xml:space="preserve">  If the insured lives through the term, usually no payments are made although some companies pay dividends or provide additional types of payments in the event the insured becomes disabled, etc.</w:t>
      </w:r>
    </w:p>
    <w:p w:rsidR="006E0159" w:rsidRPr="009F2376" w:rsidRDefault="006E0159" w:rsidP="0052526A">
      <w:pPr>
        <w:pStyle w:val="ListParagraph"/>
        <w:spacing w:after="0" w:line="240" w:lineRule="auto"/>
        <w:ind w:left="1800"/>
        <w:rPr>
          <w:rFonts w:ascii="Times New Roman" w:hAnsi="Times New Roman"/>
        </w:rPr>
      </w:pPr>
    </w:p>
    <w:p w:rsidR="006E0159" w:rsidRPr="009F2376" w:rsidRDefault="006E0159" w:rsidP="0052526A">
      <w:pPr>
        <w:pStyle w:val="ListParagraph"/>
        <w:spacing w:after="0" w:line="240" w:lineRule="auto"/>
        <w:ind w:left="1800"/>
        <w:rPr>
          <w:rFonts w:ascii="Times New Roman" w:hAnsi="Times New Roman"/>
        </w:rPr>
      </w:pPr>
      <w:r w:rsidRPr="009F2376">
        <w:rPr>
          <w:rFonts w:ascii="Times New Roman" w:hAnsi="Times New Roman"/>
        </w:rPr>
        <w:t>Chart 1 illustrates a typical one year term policy.  The owner of the insurance contract (or someone else) pays a premium, the coverage lasts for the term and the coverage then ceases, unless the insured dies, in which case the death benefit is paid.</w:t>
      </w:r>
    </w:p>
    <w:p w:rsidR="006E0159" w:rsidRPr="009F2376" w:rsidRDefault="006E0159" w:rsidP="0098682E">
      <w:pPr>
        <w:spacing w:after="0" w:line="240" w:lineRule="auto"/>
        <w:rPr>
          <w:rFonts w:ascii="Times New Roman" w:hAnsi="Times New Roman"/>
        </w:rPr>
      </w:pPr>
    </w:p>
    <w:p w:rsidR="006E0159" w:rsidRPr="009F2376" w:rsidRDefault="006E0159" w:rsidP="0098682E">
      <w:pPr>
        <w:pStyle w:val="ListParagraph"/>
        <w:numPr>
          <w:ilvl w:val="0"/>
          <w:numId w:val="14"/>
        </w:numPr>
        <w:spacing w:after="0" w:line="240" w:lineRule="auto"/>
        <w:rPr>
          <w:rFonts w:ascii="Times New Roman" w:hAnsi="Times New Roman"/>
          <w:b/>
        </w:rPr>
      </w:pPr>
      <w:r w:rsidRPr="009F2376">
        <w:rPr>
          <w:rFonts w:ascii="Times New Roman" w:hAnsi="Times New Roman"/>
          <w:b/>
        </w:rPr>
        <w:t>Other Aspects of Term Life Insurance</w:t>
      </w:r>
    </w:p>
    <w:p w:rsidR="006E0159" w:rsidRPr="009F2376" w:rsidRDefault="006E0159" w:rsidP="003246A2">
      <w:pPr>
        <w:pStyle w:val="ListParagraph"/>
        <w:spacing w:after="0" w:line="240" w:lineRule="auto"/>
        <w:ind w:left="1800"/>
        <w:rPr>
          <w:rFonts w:ascii="Times New Roman" w:hAnsi="Times New Roman"/>
        </w:rPr>
      </w:pPr>
    </w:p>
    <w:p w:rsidR="006E0159" w:rsidRPr="009F2376" w:rsidRDefault="006E0159" w:rsidP="003246A2">
      <w:pPr>
        <w:pStyle w:val="ListParagraph"/>
        <w:spacing w:after="0" w:line="240" w:lineRule="auto"/>
        <w:ind w:left="1800"/>
        <w:rPr>
          <w:rFonts w:ascii="Times New Roman" w:hAnsi="Times New Roman"/>
        </w:rPr>
      </w:pPr>
      <w:r w:rsidRPr="009F2376">
        <w:rPr>
          <w:rFonts w:ascii="Times New Roman" w:hAnsi="Times New Roman"/>
        </w:rPr>
        <w:t>Individuals sometimes need insurance for one year only.  For example, a lender might require a borrower to carry insurance on his of her life (payable to the lender) while the loan is outstanding.  If it is a one-year loan, the lender may only insist that the insured get a one-year policy.</w:t>
      </w:r>
    </w:p>
    <w:p w:rsidR="006E0159" w:rsidRPr="009F2376" w:rsidRDefault="006E0159" w:rsidP="003246A2">
      <w:pPr>
        <w:pStyle w:val="ListParagraph"/>
        <w:spacing w:after="0" w:line="240" w:lineRule="auto"/>
        <w:ind w:left="1800"/>
        <w:rPr>
          <w:rFonts w:ascii="Times New Roman" w:hAnsi="Times New Roman"/>
        </w:rPr>
      </w:pPr>
    </w:p>
    <w:p w:rsidR="006E0159" w:rsidRPr="009F2376" w:rsidRDefault="006E0159" w:rsidP="003246A2">
      <w:pPr>
        <w:pStyle w:val="ListParagraph"/>
        <w:spacing w:after="0" w:line="240" w:lineRule="auto"/>
        <w:ind w:left="1800"/>
        <w:rPr>
          <w:rFonts w:ascii="Times New Roman" w:hAnsi="Times New Roman"/>
        </w:rPr>
      </w:pPr>
      <w:r w:rsidRPr="009F2376">
        <w:rPr>
          <w:rFonts w:ascii="Times New Roman" w:hAnsi="Times New Roman"/>
        </w:rPr>
        <w:t xml:space="preserve">Most people, however, who have a need for life insurance </w:t>
      </w:r>
      <w:proofErr w:type="gramStart"/>
      <w:r w:rsidRPr="009F2376">
        <w:rPr>
          <w:rFonts w:ascii="Times New Roman" w:hAnsi="Times New Roman"/>
        </w:rPr>
        <w:t>usually</w:t>
      </w:r>
      <w:proofErr w:type="gramEnd"/>
      <w:r w:rsidRPr="009F2376">
        <w:rPr>
          <w:rFonts w:ascii="Times New Roman" w:hAnsi="Times New Roman"/>
        </w:rPr>
        <w:t xml:space="preserve"> conclude that it is going to be needed for longer than one year.  For example, many executives, professionals and others who earn remuneration conclude that the need for insurance probably will last at least until retirement.  Insurance companies make long-term (e.g., 20 year) term insurance available by allowing the insured to renew the insurance each succeeding year without medical examination.  Generally, that type of insurance is more expensive than one which automatically expires at the end of each year and can be renewed only if the insured annually undergoes (and passes) a new medical examination.  Few individuals want to take that risk, so most acquire term products which allow automatic renewal without further medical examination.  Chart 2 contains an illustration of such a policy.  The insured does have the option of not renewing and instead undergoing a new medical exam each and, if “passed,” acquiring a new term policy each year which also contains a renewal feature.  Over time, that may reduce the cost of carrying the insurance.  However, “comparative shopping” should show whether or not the savings will be significant.</w:t>
      </w:r>
    </w:p>
    <w:p w:rsidR="006E0159" w:rsidRPr="009F2376" w:rsidRDefault="006E0159" w:rsidP="003246A2">
      <w:pPr>
        <w:pStyle w:val="ListParagraph"/>
        <w:spacing w:after="0" w:line="240" w:lineRule="auto"/>
        <w:ind w:left="1800"/>
        <w:rPr>
          <w:rFonts w:ascii="Times New Roman" w:hAnsi="Times New Roman"/>
        </w:rPr>
      </w:pPr>
    </w:p>
    <w:p w:rsidR="006E0159" w:rsidRPr="009F2376" w:rsidRDefault="006E0159" w:rsidP="003246A2">
      <w:pPr>
        <w:pStyle w:val="ListParagraph"/>
        <w:spacing w:after="0" w:line="240" w:lineRule="auto"/>
        <w:ind w:left="1800"/>
        <w:rPr>
          <w:rFonts w:ascii="Times New Roman" w:hAnsi="Times New Roman"/>
        </w:rPr>
      </w:pPr>
      <w:r w:rsidRPr="009F2376">
        <w:rPr>
          <w:rFonts w:ascii="Times New Roman" w:hAnsi="Times New Roman"/>
        </w:rPr>
        <w:t>Generally, there are three ways in which insurance companies charge for term rates.  In fact, they can be considered three types of term insurance.  One is known as “annual renewable term.”  With such insurance, all persons of the same age (and health)</w:t>
      </w:r>
      <w:r>
        <w:rPr>
          <w:rStyle w:val="FootnoteReference"/>
          <w:rFonts w:ascii="Times New Roman" w:hAnsi="Times New Roman"/>
        </w:rPr>
        <w:footnoteReference w:id="1"/>
      </w:r>
      <w:r w:rsidRPr="009F2376">
        <w:rPr>
          <w:rFonts w:ascii="Times New Roman" w:hAnsi="Times New Roman"/>
        </w:rPr>
        <w:t xml:space="preserve"> pay the same rate regardless of how long each has held the policy.  For example, all 50 year olds pay the same rate.  In other words, a 40 year old, who acquired the policy ten years ago, pays the same rate (now that he or she is 50) as another 50 year old who currently “passes” a medical examination and acquires a term policy.  The second type is known as “select and ultimate.”  Generally, once the insured passes the medical examination, a certain rate is paid but if the insured agrees to undergo and passes another medical at a later time, a (new) lower rate applies.  The third is known as re-entry term (a subset of select and ultimate).  Typically, these term policies provide very inexpensive rates for the first year or so, but the rates then significantly increase.  Not all companies provide all three types.  Indeed, the three types of insurance seem to reflect different philosophies.</w:t>
      </w:r>
    </w:p>
    <w:p w:rsidR="006E0159" w:rsidRPr="009F2376" w:rsidRDefault="006E0159" w:rsidP="003246A2">
      <w:pPr>
        <w:pStyle w:val="ListParagraph"/>
        <w:spacing w:after="0" w:line="240" w:lineRule="auto"/>
        <w:ind w:left="1800"/>
        <w:rPr>
          <w:rFonts w:ascii="Times New Roman" w:hAnsi="Times New Roman"/>
        </w:rPr>
      </w:pPr>
    </w:p>
    <w:p w:rsidR="006E0159" w:rsidRPr="009F2376" w:rsidRDefault="006E0159" w:rsidP="003246A2">
      <w:pPr>
        <w:pStyle w:val="ListParagraph"/>
        <w:spacing w:after="0" w:line="240" w:lineRule="auto"/>
        <w:ind w:left="1800"/>
        <w:rPr>
          <w:rFonts w:ascii="Times New Roman" w:hAnsi="Times New Roman"/>
        </w:rPr>
      </w:pPr>
      <w:r w:rsidRPr="009F2376">
        <w:rPr>
          <w:rFonts w:ascii="Times New Roman" w:hAnsi="Times New Roman"/>
        </w:rPr>
        <w:lastRenderedPageBreak/>
        <w:t>A key point is that even though it may seem that purchasing term insurance must be the easiest of life insurance product selection decisions to make, acquiring term insurance can be a complex matter.  Accordingly, it may be appropriate to obtain the services of an experienced and well-trained life insurance field representative who can provide illustrations from various carriers representing various different types of insurance and help the insured to choose the policy which is best under the particular circumstances.  Furthermore, when selecting an insurance field representative, it may be best to look for one who has a track record of servicing his or her client’s needs over the long term; the insured (or other owner of the policy) may not be well served by choosing a sales representative merely because he or she appears to offer the “cheapest” product but is the type of person who is not willing to continue to service the client’s insurance needs.</w:t>
      </w:r>
    </w:p>
    <w:p w:rsidR="006E0159" w:rsidRPr="009F2376" w:rsidRDefault="006E0159" w:rsidP="003246A2">
      <w:pPr>
        <w:pStyle w:val="ListParagraph"/>
        <w:spacing w:after="0" w:line="240" w:lineRule="auto"/>
        <w:ind w:left="1800"/>
        <w:rPr>
          <w:rFonts w:ascii="Times New Roman" w:hAnsi="Times New Roman"/>
        </w:rPr>
      </w:pPr>
    </w:p>
    <w:p w:rsidR="006E0159" w:rsidRPr="009F2376" w:rsidRDefault="006E0159" w:rsidP="00B835AF">
      <w:pPr>
        <w:pStyle w:val="ListParagraph"/>
        <w:spacing w:after="0" w:line="240" w:lineRule="auto"/>
        <w:ind w:left="1800"/>
        <w:rPr>
          <w:rFonts w:ascii="Times New Roman" w:hAnsi="Times New Roman"/>
        </w:rPr>
      </w:pPr>
      <w:r w:rsidRPr="009F2376">
        <w:rPr>
          <w:rFonts w:ascii="Times New Roman" w:hAnsi="Times New Roman"/>
        </w:rPr>
        <w:t>In any case, with a typical term policy, whether or not it can be renewed without medical examination each year, the premiums increase (because each year there is a greater probability that the insured will die) and the amount o</w:t>
      </w:r>
      <w:r>
        <w:rPr>
          <w:rFonts w:ascii="Times New Roman" w:hAnsi="Times New Roman"/>
        </w:rPr>
        <w:t>f death benefit remains level.</w:t>
      </w:r>
      <w:r>
        <w:rPr>
          <w:rStyle w:val="FootnoteReference"/>
          <w:rFonts w:ascii="Times New Roman" w:hAnsi="Times New Roman"/>
        </w:rPr>
        <w:footnoteReference w:id="2"/>
      </w:r>
    </w:p>
    <w:p w:rsidR="006E0159" w:rsidRPr="009F2376" w:rsidRDefault="006E0159" w:rsidP="00B835AF">
      <w:pPr>
        <w:pStyle w:val="ListParagraph"/>
        <w:spacing w:after="0" w:line="240" w:lineRule="auto"/>
        <w:ind w:left="1800"/>
        <w:rPr>
          <w:rFonts w:ascii="Times New Roman" w:hAnsi="Times New Roman"/>
        </w:rPr>
      </w:pPr>
    </w:p>
    <w:p w:rsidR="006E0159" w:rsidRPr="009F2376" w:rsidRDefault="006E0159" w:rsidP="00B835AF">
      <w:pPr>
        <w:pStyle w:val="ListParagraph"/>
        <w:spacing w:after="0" w:line="240" w:lineRule="auto"/>
        <w:ind w:left="1800"/>
        <w:rPr>
          <w:rFonts w:ascii="Times New Roman" w:hAnsi="Times New Roman"/>
        </w:rPr>
      </w:pPr>
      <w:r w:rsidRPr="009F2376">
        <w:rPr>
          <w:rFonts w:ascii="Times New Roman" w:hAnsi="Times New Roman"/>
        </w:rPr>
        <w:t>Most insurance companies will only write pure term life insurance (i.e., a policy only has term insurance coverage with no cash value) through a certain age, such as age 70.  If the insured lives longer than that, the insurance coverage ends.</w:t>
      </w:r>
    </w:p>
    <w:p w:rsidR="006E0159" w:rsidRPr="009F2376" w:rsidRDefault="006E0159" w:rsidP="00B835AF">
      <w:pPr>
        <w:pStyle w:val="ListParagraph"/>
        <w:spacing w:after="0" w:line="240" w:lineRule="auto"/>
        <w:ind w:left="1800"/>
        <w:rPr>
          <w:rFonts w:ascii="Times New Roman" w:hAnsi="Times New Roman"/>
        </w:rPr>
      </w:pPr>
    </w:p>
    <w:p w:rsidR="006E0159" w:rsidRPr="009F2376" w:rsidRDefault="006E0159" w:rsidP="00B835AF">
      <w:pPr>
        <w:pStyle w:val="ListParagraph"/>
        <w:spacing w:after="0" w:line="240" w:lineRule="auto"/>
        <w:ind w:left="1800"/>
        <w:rPr>
          <w:rFonts w:ascii="Times New Roman" w:hAnsi="Times New Roman"/>
        </w:rPr>
      </w:pPr>
      <w:r w:rsidRPr="009F2376">
        <w:rPr>
          <w:rFonts w:ascii="Times New Roman" w:hAnsi="Times New Roman"/>
        </w:rPr>
        <w:t>When an individual reaches advanced ages (such as over the age of 90), the probability of death, on average, is so great that the premiums for term insurance become very large.  It does not mean, however, that the insurance is any less of a bargain at that age than at an earlier age.  A 25 year old, for example, can acquire insurance at what appears to be a very inexpensive price.  However, the probability that the insurance company will have to pay a death benefit within the next year is quite small.  For a 90 year old, the premium will be high but the probability is relatively great that the individual will die within the year.</w:t>
      </w:r>
    </w:p>
    <w:p w:rsidR="006E0159" w:rsidRPr="009F2376" w:rsidRDefault="006E0159" w:rsidP="00B835AF">
      <w:pPr>
        <w:pStyle w:val="ListParagraph"/>
        <w:spacing w:after="0" w:line="240" w:lineRule="auto"/>
        <w:ind w:left="1800"/>
        <w:rPr>
          <w:rFonts w:ascii="Times New Roman" w:hAnsi="Times New Roman"/>
        </w:rPr>
      </w:pPr>
    </w:p>
    <w:p w:rsidR="006E0159" w:rsidRPr="009F2376" w:rsidRDefault="006E0159" w:rsidP="00B835AF">
      <w:pPr>
        <w:pStyle w:val="ListParagraph"/>
        <w:spacing w:after="0" w:line="240" w:lineRule="auto"/>
        <w:ind w:left="1800"/>
        <w:rPr>
          <w:rFonts w:ascii="Times New Roman" w:hAnsi="Times New Roman"/>
        </w:rPr>
      </w:pPr>
      <w:r w:rsidRPr="009F2376">
        <w:rPr>
          <w:rFonts w:ascii="Times New Roman" w:hAnsi="Times New Roman"/>
        </w:rPr>
        <w:t xml:space="preserve">The anticipated mortality for all individuals of a particular age (or those who are treated as of that age) is a major factor in determining the cost of the insurance.  If the insurance is for an insured at an age where 1% of the population will die before reaching the next birthday, the insurance carrier needs to charge 1% of the face benefit just for the mortality cost.  If there is a 5% probability that individuals of that age will die, the carrier must charge at least five times as much for the same amount of death benefit.  However, in setting term premiums, different companies use different data.  Some use historic data, while others project into the future.  Usually, the rates quoted in the policy are not guaranteed, although there may be a guaranteed maximum charge.  </w:t>
      </w:r>
      <w:proofErr w:type="gramStart"/>
      <w:r w:rsidRPr="009F2376">
        <w:rPr>
          <w:rFonts w:ascii="Times New Roman" w:hAnsi="Times New Roman"/>
        </w:rPr>
        <w:t>The fact that the rates usually are not guaranteed makes comparisons somewhat difficult.</w:t>
      </w:r>
      <w:proofErr w:type="gramEnd"/>
      <w:r w:rsidRPr="009F2376">
        <w:rPr>
          <w:rFonts w:ascii="Times New Roman" w:hAnsi="Times New Roman"/>
        </w:rPr>
        <w:t xml:space="preserve">  Working with comparative guarantees may not be helpful because companies rarely, if ever, use them.  </w:t>
      </w:r>
    </w:p>
    <w:p w:rsidR="006E0159" w:rsidRPr="009F2376" w:rsidRDefault="006E0159" w:rsidP="00B835AF">
      <w:pPr>
        <w:pStyle w:val="ListParagraph"/>
        <w:spacing w:after="0" w:line="240" w:lineRule="auto"/>
        <w:ind w:left="1800"/>
        <w:rPr>
          <w:rFonts w:ascii="Times New Roman" w:hAnsi="Times New Roman"/>
        </w:rPr>
      </w:pPr>
    </w:p>
    <w:p w:rsidR="006E0159" w:rsidRPr="009F2376" w:rsidRDefault="006E0159" w:rsidP="00B835AF">
      <w:pPr>
        <w:pStyle w:val="ListParagraph"/>
        <w:spacing w:after="0" w:line="240" w:lineRule="auto"/>
        <w:ind w:left="1800"/>
        <w:rPr>
          <w:rFonts w:ascii="Times New Roman" w:hAnsi="Times New Roman"/>
        </w:rPr>
      </w:pPr>
      <w:r w:rsidRPr="009F2376">
        <w:rPr>
          <w:rFonts w:ascii="Times New Roman" w:hAnsi="Times New Roman"/>
        </w:rPr>
        <w:t xml:space="preserve">Another factor in determining the cost of insurance is a “lapse rate.”  That is, insurer factor into pricing the percentage of policies that will lapse before the insured dies so </w:t>
      </w:r>
      <w:r w:rsidRPr="009F2376">
        <w:rPr>
          <w:rFonts w:ascii="Times New Roman" w:hAnsi="Times New Roman"/>
        </w:rPr>
        <w:lastRenderedPageBreak/>
        <w:t>that the pure “at risk element” under the policy and the entire death benefit in a pure term policy is all an “at risk” element.</w:t>
      </w:r>
    </w:p>
    <w:p w:rsidR="006E0159" w:rsidRPr="009F2376" w:rsidRDefault="006E0159" w:rsidP="001D1479">
      <w:pPr>
        <w:pStyle w:val="ListParagraph"/>
        <w:spacing w:after="0" w:line="240" w:lineRule="auto"/>
        <w:ind w:left="0"/>
        <w:rPr>
          <w:rFonts w:ascii="Times New Roman" w:hAnsi="Times New Roman"/>
          <w:b/>
        </w:rPr>
      </w:pPr>
    </w:p>
    <w:p w:rsidR="006E0159" w:rsidRPr="009F2376" w:rsidRDefault="006E0159" w:rsidP="001D1479">
      <w:pPr>
        <w:pStyle w:val="ListParagraph"/>
        <w:numPr>
          <w:ilvl w:val="0"/>
          <w:numId w:val="13"/>
        </w:numPr>
        <w:spacing w:after="0" w:line="240" w:lineRule="auto"/>
        <w:rPr>
          <w:rFonts w:ascii="Times New Roman" w:hAnsi="Times New Roman"/>
          <w:b/>
        </w:rPr>
      </w:pPr>
      <w:r w:rsidRPr="009F2376">
        <w:rPr>
          <w:rFonts w:ascii="Times New Roman" w:hAnsi="Times New Roman"/>
          <w:b/>
        </w:rPr>
        <w:t>Cash Value Insurance: What Really Is Happening</w:t>
      </w:r>
    </w:p>
    <w:p w:rsidR="006E0159" w:rsidRPr="009F2376" w:rsidRDefault="006E0159" w:rsidP="001D1479">
      <w:pPr>
        <w:pStyle w:val="ListParagraph"/>
        <w:spacing w:after="0" w:line="240" w:lineRule="auto"/>
        <w:ind w:left="1440"/>
        <w:rPr>
          <w:rFonts w:ascii="Times New Roman" w:hAnsi="Times New Roman"/>
        </w:rPr>
      </w:pPr>
    </w:p>
    <w:p w:rsidR="006E0159" w:rsidRPr="009F2376" w:rsidRDefault="006E0159" w:rsidP="00EA03A3">
      <w:pPr>
        <w:pStyle w:val="ListParagraph"/>
        <w:spacing w:after="0" w:line="240" w:lineRule="auto"/>
        <w:ind w:left="1440"/>
        <w:rPr>
          <w:rFonts w:ascii="Times New Roman" w:hAnsi="Times New Roman"/>
        </w:rPr>
      </w:pPr>
      <w:r w:rsidRPr="009F2376">
        <w:rPr>
          <w:rFonts w:ascii="Times New Roman" w:hAnsi="Times New Roman"/>
        </w:rPr>
        <w:t>A “cash value” policy has two components: a term (or death benefit) component and a cash value (or investment) component.  Usually, the sum of the death benefit plus the cash value equals the stated death benefit.  Chart 3 illustrates what happens with a typical or traditional cash value policy.</w:t>
      </w:r>
    </w:p>
    <w:p w:rsidR="006E0159" w:rsidRPr="009F2376" w:rsidRDefault="006E0159" w:rsidP="00EA03A3">
      <w:pPr>
        <w:pStyle w:val="ListParagraph"/>
        <w:spacing w:after="0" w:line="240" w:lineRule="auto"/>
        <w:ind w:left="1440"/>
        <w:rPr>
          <w:rFonts w:ascii="Times New Roman" w:hAnsi="Times New Roman"/>
        </w:rPr>
      </w:pPr>
    </w:p>
    <w:p w:rsidR="006E0159" w:rsidRPr="009F2376" w:rsidRDefault="006E0159" w:rsidP="00DC32B6">
      <w:pPr>
        <w:pStyle w:val="ListParagraph"/>
        <w:spacing w:after="0" w:line="240" w:lineRule="auto"/>
        <w:ind w:left="1440"/>
        <w:rPr>
          <w:rFonts w:ascii="Times New Roman" w:hAnsi="Times New Roman"/>
        </w:rPr>
      </w:pPr>
      <w:r w:rsidRPr="009F2376">
        <w:rPr>
          <w:rFonts w:ascii="Times New Roman" w:hAnsi="Times New Roman"/>
        </w:rPr>
        <w:t>It will be noted from Chart 3 that the amount for which the insurance carrier really is at risk goes down each year and cash (or investment) value is substituted.  In other words, the amount of real insurance (called the “net amount at risk,” the “pure insurance” or the “term component”) provided each year goes down.  By the thirtieth year of coverage, for example, the amount of real insurance coverage is relatively very small and almost all of the coverage is provided by cash or investment value.  Because the policyholder already owns the cash (or investment) component (and usually can demand it at any time), there is relatively little for which the insurance company is at risk.  Even though the insured is much older at that time, the premiums for the death benefit are not very high because the amount of real death benefit coverage is low.  In fact, if the insured lives long enough, the policy’s cash value under most policies will equal the death benefit and, in many cases, at that time the face amount of the policy will be paid to its owner even though the insured is still alive.</w:t>
      </w:r>
    </w:p>
    <w:p w:rsidR="006E0159" w:rsidRPr="009F2376" w:rsidRDefault="006E0159" w:rsidP="00DC32B6">
      <w:pPr>
        <w:pStyle w:val="ListParagraph"/>
        <w:spacing w:after="0" w:line="240" w:lineRule="auto"/>
        <w:ind w:left="1440"/>
        <w:rPr>
          <w:rFonts w:ascii="Times New Roman" w:hAnsi="Times New Roman"/>
        </w:rPr>
      </w:pPr>
    </w:p>
    <w:p w:rsidR="006E0159" w:rsidRPr="009F2376" w:rsidRDefault="006E0159" w:rsidP="00DC32B6">
      <w:pPr>
        <w:pStyle w:val="ListParagraph"/>
        <w:spacing w:after="0" w:line="240" w:lineRule="auto"/>
        <w:ind w:left="1440"/>
        <w:rPr>
          <w:rFonts w:ascii="Times New Roman" w:hAnsi="Times New Roman"/>
        </w:rPr>
      </w:pPr>
      <w:r w:rsidRPr="009F2376">
        <w:rPr>
          <w:rFonts w:ascii="Times New Roman" w:hAnsi="Times New Roman"/>
        </w:rPr>
        <w:t xml:space="preserve">Many cash value policies provide for a level premium.  For example, the same premium is paid at age 72 that was paid when the policy was acquired at age 30.  Obviously, there is a much greater risk at age 72 that the insured will die in the next year than when the insured was age 30.  Yet the insurance carrier appears to be charging the same premium.  As indicated above, however, the same amount of real insurance is not being provided.  The amount of real insurance coverage is reduced (and substituted with cash or investment value).  Because there is less real insurance (that is, the amount for which the insurance carrier is at risk), the amount it has to charge for insurance goes down.  In addition, the cash value, as indicated, is not held as </w:t>
      </w:r>
      <w:proofErr w:type="spellStart"/>
      <w:r w:rsidRPr="009F2376">
        <w:rPr>
          <w:rFonts w:ascii="Times New Roman" w:hAnsi="Times New Roman"/>
        </w:rPr>
        <w:t>uninvested</w:t>
      </w:r>
      <w:proofErr w:type="spellEnd"/>
      <w:r w:rsidRPr="009F2376">
        <w:rPr>
          <w:rFonts w:ascii="Times New Roman" w:hAnsi="Times New Roman"/>
        </w:rPr>
        <w:t xml:space="preserve"> cash; rather, it will have been invested and, over time, should produce growth and/or income which the insurance carrier, in effect, uses to pay part of the cost of the term insurance coverage, in some cases, and to build more cash (or investment) value in other cases.  As will be explained later, it is efficient from an income tax perspective to allow income earned on the cash value component to be used to pay the term insurance element; this produces, in effect, tax deductible term life insurance.  Traditional cash value policies, however, are not usually designed to maximize that potential benefit.</w:t>
      </w:r>
    </w:p>
    <w:p w:rsidR="006E0159" w:rsidRPr="009F2376" w:rsidRDefault="006E0159" w:rsidP="00DC32B6">
      <w:pPr>
        <w:pStyle w:val="ListParagraph"/>
        <w:spacing w:after="0" w:line="240" w:lineRule="auto"/>
        <w:ind w:left="1440"/>
        <w:rPr>
          <w:rFonts w:ascii="Times New Roman" w:hAnsi="Times New Roman"/>
        </w:rPr>
      </w:pPr>
    </w:p>
    <w:p w:rsidR="006E0159" w:rsidRPr="009F2376" w:rsidRDefault="006E0159" w:rsidP="00DC32B6">
      <w:pPr>
        <w:pStyle w:val="ListParagraph"/>
        <w:spacing w:after="0" w:line="240" w:lineRule="auto"/>
        <w:ind w:left="1440"/>
        <w:rPr>
          <w:rFonts w:ascii="Times New Roman" w:hAnsi="Times New Roman"/>
        </w:rPr>
      </w:pPr>
      <w:r w:rsidRPr="009F2376">
        <w:rPr>
          <w:rFonts w:ascii="Times New Roman" w:hAnsi="Times New Roman"/>
        </w:rPr>
        <w:t>Some may have heard of the phrase “buy term and invest the difference.”  In other words, some people claim that what the insured should do is buy term insurance, save on his or her own the amount of extra premium which otherwise would have been paid for a cash value policy and, over time, self-insure.   However, that is what happens when a cash value policy is purchased: The policyholder buys term insurance (although the amount of term coverage usually decreases each year) and the difference is saved by the insurance company in the cash value component of the policy.</w:t>
      </w:r>
    </w:p>
    <w:p w:rsidR="006E0159" w:rsidRPr="009F2376" w:rsidRDefault="006E0159" w:rsidP="00F838D8">
      <w:pPr>
        <w:spacing w:after="0" w:line="240" w:lineRule="auto"/>
        <w:rPr>
          <w:rFonts w:ascii="Times New Roman" w:hAnsi="Times New Roman"/>
        </w:rPr>
      </w:pPr>
    </w:p>
    <w:p w:rsidR="006E0159" w:rsidRDefault="006E0159" w:rsidP="00F838D8">
      <w:pPr>
        <w:pStyle w:val="ListParagraph"/>
        <w:numPr>
          <w:ilvl w:val="0"/>
          <w:numId w:val="13"/>
        </w:numPr>
        <w:spacing w:after="0" w:line="240" w:lineRule="auto"/>
        <w:rPr>
          <w:rFonts w:ascii="Times New Roman" w:hAnsi="Times New Roman"/>
          <w:b/>
        </w:rPr>
      </w:pPr>
      <w:r w:rsidRPr="009F2376">
        <w:rPr>
          <w:rFonts w:ascii="Times New Roman" w:hAnsi="Times New Roman"/>
          <w:b/>
        </w:rPr>
        <w:t>Variants of Cash Value Insurance</w:t>
      </w:r>
    </w:p>
    <w:p w:rsidR="006E0159" w:rsidRPr="000E0721" w:rsidRDefault="006E0159" w:rsidP="000E0721">
      <w:pPr>
        <w:spacing w:after="0" w:line="240" w:lineRule="auto"/>
        <w:ind w:left="1440"/>
        <w:rPr>
          <w:rFonts w:ascii="Times New Roman" w:hAnsi="Times New Roman"/>
          <w:b/>
        </w:rPr>
      </w:pPr>
    </w:p>
    <w:p w:rsidR="006E0159" w:rsidRPr="009F2376" w:rsidRDefault="006E0159" w:rsidP="00F838D8">
      <w:pPr>
        <w:pStyle w:val="ListParagraph"/>
        <w:numPr>
          <w:ilvl w:val="0"/>
          <w:numId w:val="21"/>
        </w:numPr>
        <w:spacing w:after="0" w:line="240" w:lineRule="auto"/>
        <w:rPr>
          <w:rFonts w:ascii="Times New Roman" w:hAnsi="Times New Roman"/>
          <w:b/>
        </w:rPr>
      </w:pPr>
      <w:r w:rsidRPr="009F2376">
        <w:rPr>
          <w:rFonts w:ascii="Times New Roman" w:hAnsi="Times New Roman"/>
          <w:b/>
        </w:rPr>
        <w:lastRenderedPageBreak/>
        <w:t>Whole Life</w:t>
      </w:r>
    </w:p>
    <w:p w:rsidR="006E0159" w:rsidRPr="009F2376" w:rsidRDefault="006E0159" w:rsidP="00F838D8">
      <w:pPr>
        <w:spacing w:after="0" w:line="240" w:lineRule="auto"/>
        <w:rPr>
          <w:rFonts w:ascii="Times New Roman" w:hAnsi="Times New Roman"/>
          <w:b/>
        </w:rPr>
      </w:pPr>
    </w:p>
    <w:p w:rsidR="006E0159" w:rsidRPr="009F2376" w:rsidRDefault="006E0159" w:rsidP="00F838D8">
      <w:pPr>
        <w:spacing w:after="0" w:line="240" w:lineRule="auto"/>
        <w:ind w:left="1800"/>
        <w:rPr>
          <w:rFonts w:ascii="Times New Roman" w:hAnsi="Times New Roman"/>
        </w:rPr>
      </w:pPr>
      <w:r w:rsidRPr="009F2376">
        <w:rPr>
          <w:rFonts w:ascii="Times New Roman" w:hAnsi="Times New Roman"/>
        </w:rPr>
        <w:t>Sometimes, cash value insurance is called whole life insurance or a somewhat similar name.  Usually, whole life refers to a policy for which premiums are paid for the insured’s whole life although at some point it may be “paid-up” (that is, no further premiums need to be made to carry the insurance) at a certain age.  Paid-up insurance only means that, based upon estimates, the policy will have adequate cash value so that its expected income and growth will be sufficient to pay for the term insurance component at a level such that the death benefit will remain constant even though no additional premiums are paid.  Almost always, if the investment performance is less than forecasted, the owner will be required to make additional premium payments in order to maintain the original death benefit.</w:t>
      </w:r>
    </w:p>
    <w:p w:rsidR="006E0159" w:rsidRPr="009F2376" w:rsidRDefault="006E0159" w:rsidP="00F838D8">
      <w:pPr>
        <w:spacing w:after="0" w:line="240" w:lineRule="auto"/>
        <w:ind w:left="1800"/>
        <w:rPr>
          <w:rFonts w:ascii="Times New Roman" w:hAnsi="Times New Roman"/>
        </w:rPr>
      </w:pPr>
    </w:p>
    <w:p w:rsidR="006E0159" w:rsidRPr="009F2376" w:rsidRDefault="006E0159" w:rsidP="00046184">
      <w:pPr>
        <w:pStyle w:val="ListParagraph"/>
        <w:numPr>
          <w:ilvl w:val="0"/>
          <w:numId w:val="21"/>
        </w:numPr>
        <w:spacing w:after="0" w:line="240" w:lineRule="auto"/>
        <w:rPr>
          <w:rFonts w:ascii="Times New Roman" w:hAnsi="Times New Roman"/>
          <w:b/>
        </w:rPr>
      </w:pPr>
      <w:r w:rsidRPr="009F2376">
        <w:rPr>
          <w:rFonts w:ascii="Times New Roman" w:hAnsi="Times New Roman"/>
          <w:b/>
        </w:rPr>
        <w:t>Universal Life</w:t>
      </w:r>
    </w:p>
    <w:p w:rsidR="006E0159" w:rsidRPr="009F2376" w:rsidRDefault="006E0159" w:rsidP="00046184">
      <w:pPr>
        <w:pStyle w:val="ListParagraph"/>
        <w:spacing w:after="0" w:line="240" w:lineRule="auto"/>
        <w:ind w:left="1800"/>
        <w:rPr>
          <w:rFonts w:ascii="Times New Roman" w:hAnsi="Times New Roman"/>
        </w:rPr>
      </w:pPr>
    </w:p>
    <w:p w:rsidR="006E0159" w:rsidRPr="009F2376" w:rsidRDefault="006E0159" w:rsidP="00046184">
      <w:pPr>
        <w:pStyle w:val="ListParagraph"/>
        <w:spacing w:after="0" w:line="240" w:lineRule="auto"/>
        <w:ind w:left="1800"/>
        <w:rPr>
          <w:rFonts w:ascii="Times New Roman" w:hAnsi="Times New Roman"/>
        </w:rPr>
      </w:pPr>
      <w:r w:rsidRPr="009F2376">
        <w:rPr>
          <w:rFonts w:ascii="Times New Roman" w:hAnsi="Times New Roman"/>
        </w:rPr>
        <w:t>Universal life more classically illustrates the separate term (or death benefit) component and the cash value (or investment) component of a policy.  Usually, it allows the policy owner to vary (within certain limits) the level of death benefit and vary the amount of cash value.  Generally, premiums can be paid so as to maintain the pure death benefit (or term insurance) component at a constant level (rather than having it decrease each year as occurs with most traditional cash value policies).  At death, any cash value is paid in addition to the face amount of term insurance coverage.  In other words, if the insured dies when there is positive cash value, and a constant term level has been maintained, the face amount plus the cash (or investment) value will be paid if that structure is chosen.</w:t>
      </w:r>
      <w:r>
        <w:rPr>
          <w:rStyle w:val="FootnoteReference"/>
          <w:rFonts w:ascii="Times New Roman" w:hAnsi="Times New Roman"/>
        </w:rPr>
        <w:footnoteReference w:id="3"/>
      </w:r>
      <w:r w:rsidRPr="009F2376">
        <w:rPr>
          <w:rFonts w:ascii="Times New Roman" w:hAnsi="Times New Roman"/>
        </w:rPr>
        <w:t xml:space="preserve">  In contrast in the more traditional cash value policy, the sum of the term benefit and cash value equals the face amount of the policy; the policy does not pay the face amount plus the cash value.</w:t>
      </w:r>
    </w:p>
    <w:p w:rsidR="006E0159" w:rsidRPr="009F2376" w:rsidRDefault="006E0159" w:rsidP="00046184">
      <w:pPr>
        <w:pStyle w:val="ListParagraph"/>
        <w:spacing w:after="0" w:line="240" w:lineRule="auto"/>
        <w:ind w:left="1800"/>
        <w:rPr>
          <w:rFonts w:ascii="Times New Roman" w:hAnsi="Times New Roman"/>
        </w:rPr>
      </w:pPr>
    </w:p>
    <w:p w:rsidR="006E0159" w:rsidRPr="009F2376" w:rsidRDefault="006E0159" w:rsidP="00046184">
      <w:pPr>
        <w:pStyle w:val="ListParagraph"/>
        <w:spacing w:after="0" w:line="240" w:lineRule="auto"/>
        <w:ind w:left="1800"/>
        <w:rPr>
          <w:rFonts w:ascii="Times New Roman" w:hAnsi="Times New Roman"/>
        </w:rPr>
      </w:pPr>
      <w:r w:rsidRPr="009F2376">
        <w:rPr>
          <w:rFonts w:ascii="Times New Roman" w:hAnsi="Times New Roman"/>
        </w:rPr>
        <w:t>Chart 4 presents an illustration of a universal policy.  It assumes that there is a level death benefit and there is a significant cash value (or investment) component.  It is appropriate to note that the amount of death benefit (term insurance) can be reduced and the cash value kept very small.</w:t>
      </w:r>
    </w:p>
    <w:p w:rsidR="006E0159" w:rsidRPr="009F2376" w:rsidRDefault="006E0159" w:rsidP="00046184">
      <w:pPr>
        <w:pStyle w:val="ListParagraph"/>
        <w:spacing w:after="0" w:line="240" w:lineRule="auto"/>
        <w:ind w:left="1800"/>
        <w:rPr>
          <w:rFonts w:ascii="Times New Roman" w:hAnsi="Times New Roman"/>
        </w:rPr>
      </w:pPr>
    </w:p>
    <w:p w:rsidR="006E0159" w:rsidRPr="009F2376" w:rsidRDefault="006E0159" w:rsidP="00046184">
      <w:pPr>
        <w:pStyle w:val="ListParagraph"/>
        <w:spacing w:after="0" w:line="240" w:lineRule="auto"/>
        <w:ind w:left="1800"/>
        <w:rPr>
          <w:rFonts w:ascii="Times New Roman" w:hAnsi="Times New Roman"/>
        </w:rPr>
      </w:pPr>
      <w:r w:rsidRPr="009F2376">
        <w:rPr>
          <w:rFonts w:ascii="Times New Roman" w:hAnsi="Times New Roman"/>
        </w:rPr>
        <w:t>Some recommend universal life because there is greater flexibility than with a traditional cash value policy.  While the insured is young, the insured can pay term premiums, because the cost is relatively low.  The insured may not have adequate resources to pay additional premiums which will be credited to the cash value component.  As the insured ages, and even though the cost of term insurance goes up, the financial wherewithal of the insured usually increases, so the insured may more comfortably pay premiums in excess of the cost of term insurance.  That permits the insured to build cash value and reduce the level of term insurance, the cost per any given level of which (e.g., for each $1,000,000 of coverage) increases each year.</w:t>
      </w:r>
    </w:p>
    <w:p w:rsidR="006E0159" w:rsidRPr="009F2376" w:rsidRDefault="006E0159" w:rsidP="00046184">
      <w:pPr>
        <w:pStyle w:val="ListParagraph"/>
        <w:spacing w:after="0" w:line="240" w:lineRule="auto"/>
        <w:ind w:left="1800"/>
        <w:rPr>
          <w:rFonts w:ascii="Times New Roman" w:hAnsi="Times New Roman"/>
        </w:rPr>
      </w:pPr>
    </w:p>
    <w:p w:rsidR="006E0159" w:rsidRPr="009F2376" w:rsidRDefault="006E0159" w:rsidP="00AC33C4">
      <w:pPr>
        <w:pStyle w:val="ListParagraph"/>
        <w:numPr>
          <w:ilvl w:val="0"/>
          <w:numId w:val="21"/>
        </w:numPr>
        <w:spacing w:after="0" w:line="240" w:lineRule="auto"/>
        <w:rPr>
          <w:rFonts w:ascii="Times New Roman" w:hAnsi="Times New Roman"/>
          <w:b/>
        </w:rPr>
      </w:pPr>
      <w:r w:rsidRPr="009F2376">
        <w:rPr>
          <w:rFonts w:ascii="Times New Roman" w:hAnsi="Times New Roman"/>
          <w:b/>
        </w:rPr>
        <w:t>Variable Life</w:t>
      </w:r>
      <w:r w:rsidRPr="009F2376">
        <w:rPr>
          <w:rFonts w:ascii="Times New Roman" w:hAnsi="Times New Roman"/>
        </w:rPr>
        <w:t xml:space="preserve"> </w:t>
      </w:r>
    </w:p>
    <w:p w:rsidR="006E0159" w:rsidRPr="009F2376" w:rsidRDefault="006E0159" w:rsidP="00AC33C4">
      <w:pPr>
        <w:pStyle w:val="ListParagraph"/>
        <w:spacing w:after="0" w:line="240" w:lineRule="auto"/>
        <w:ind w:left="1800"/>
        <w:rPr>
          <w:rFonts w:ascii="Times New Roman" w:hAnsi="Times New Roman"/>
        </w:rPr>
      </w:pPr>
    </w:p>
    <w:p w:rsidR="006E0159" w:rsidRPr="009F2376" w:rsidRDefault="006E0159" w:rsidP="00AC33C4">
      <w:pPr>
        <w:pStyle w:val="ListParagraph"/>
        <w:spacing w:after="0" w:line="240" w:lineRule="auto"/>
        <w:ind w:left="1800"/>
        <w:rPr>
          <w:rFonts w:ascii="Times New Roman" w:hAnsi="Times New Roman"/>
        </w:rPr>
      </w:pPr>
      <w:r w:rsidRPr="009F2376">
        <w:rPr>
          <w:rFonts w:ascii="Times New Roman" w:hAnsi="Times New Roman"/>
        </w:rPr>
        <w:t xml:space="preserve">Variable life insurance is a cash value policy which may be of a traditional whole life policy type or a universal policy type.  One unique feature of a variable policy is that </w:t>
      </w:r>
      <w:r w:rsidRPr="009F2376">
        <w:rPr>
          <w:rFonts w:ascii="Times New Roman" w:hAnsi="Times New Roman"/>
        </w:rPr>
        <w:lastRenderedPageBreak/>
        <w:t>the owner usually gets to choose how the cash value component will be invested among a complex of funds (virtually identical to mutual funds) and money market accounts; with non-variable policies the insurance company decides how all the cash value in all the policies is invested.  The insurance carrier may manage the different funds or accounts offered under the variable products or it may hire outside investment advisors to manage them.  Some policies charge for shifting investments from one type of fund or account to another.  However, in almost all cases, such transfers from one type of fund or account to another within the policy can be completed income tax free.  In other words, the policy owner can choose how to allocate the cash value among funds (such as a government bond fund or a blue chip stock fund) rather than allowing the insurance carrier to do so, and can make changes in the allocation without income tax consequences.  Usually, individuals prefer choosing among investments rather than having no choice.  Only a variable product, as a general matter, provides the owner with a choice.</w:t>
      </w:r>
    </w:p>
    <w:p w:rsidR="006E0159" w:rsidRPr="009F2376" w:rsidRDefault="006E0159" w:rsidP="00AC33C4">
      <w:pPr>
        <w:pStyle w:val="ListParagraph"/>
        <w:spacing w:after="0" w:line="240" w:lineRule="auto"/>
        <w:ind w:left="1800"/>
        <w:rPr>
          <w:rFonts w:ascii="Times New Roman" w:hAnsi="Times New Roman"/>
        </w:rPr>
      </w:pPr>
    </w:p>
    <w:p w:rsidR="006E0159" w:rsidRPr="009F2376" w:rsidRDefault="006E0159" w:rsidP="00AC33C4">
      <w:pPr>
        <w:pStyle w:val="ListParagraph"/>
        <w:spacing w:after="0" w:line="240" w:lineRule="auto"/>
        <w:ind w:left="1800"/>
        <w:rPr>
          <w:rFonts w:ascii="Times New Roman" w:hAnsi="Times New Roman"/>
        </w:rPr>
      </w:pPr>
      <w:r w:rsidRPr="009F2376">
        <w:rPr>
          <w:rFonts w:ascii="Times New Roman" w:hAnsi="Times New Roman"/>
        </w:rPr>
        <w:t>The fact that the owner has a choice of investments produces other ramifications.  For example, a variable product is regarded as a security under federal securities law.  That means that the sales representative must have an appropriate securities license to sell the product.  It also means that more disclosure will be made to the policyholder compared to the disclosure required with respect to other types of life insurance policies.  Not all sales representatives are licensed to sell such security-based products and, therefore, may not recommend them.</w:t>
      </w:r>
    </w:p>
    <w:p w:rsidR="006E0159" w:rsidRPr="009F2376" w:rsidRDefault="006E0159" w:rsidP="00AC33C4">
      <w:pPr>
        <w:pStyle w:val="ListParagraph"/>
        <w:spacing w:after="0" w:line="240" w:lineRule="auto"/>
        <w:ind w:left="1800"/>
        <w:rPr>
          <w:rFonts w:ascii="Times New Roman" w:hAnsi="Times New Roman"/>
        </w:rPr>
      </w:pPr>
    </w:p>
    <w:p w:rsidR="006E0159" w:rsidRPr="009F2376" w:rsidRDefault="006E0159" w:rsidP="00AC33C4">
      <w:pPr>
        <w:pStyle w:val="ListParagraph"/>
        <w:spacing w:after="0" w:line="240" w:lineRule="auto"/>
        <w:ind w:left="1800"/>
        <w:rPr>
          <w:rFonts w:ascii="Times New Roman" w:hAnsi="Times New Roman"/>
        </w:rPr>
      </w:pPr>
      <w:r w:rsidRPr="009F2376">
        <w:rPr>
          <w:rFonts w:ascii="Times New Roman" w:hAnsi="Times New Roman"/>
        </w:rPr>
        <w:t>Another major difference between variable products and other types of life insurance relates to the security of the cash value component.  Unlike the cash value in other policies, the cash value (or investment) component of a variable product is not subject to the claims of the insurance company’s creditors (unless the cash is invested in the company’s own account which is something the policyholder of the variable policy controls).  Although certain states provide some protection for the cash value of a life insurance policy, that may not provide complete protection.  (Contrary to popular belief, no agency of the federal government, such as the FDIC, guarantees life insurance policies or their cash value.)  The cash value (or investment) component of an insurance policy can be protected by choosing a variable product and not having it invested in the account which will allow the insurance company’s own creditors to attach the assets.  Because insurance often is carried for long periods of time, and because the financial strength of a carrier may change dramatically over that time, protecting the cash value component (which usually becomes the most significant part of the insurance coverage) from the claims of the insurance company’s creditors may be an especially appropriate factor to consider in choosing a policy.  In fact, a variable policy rather than any other type of cash value product might be chosen for that reason alone.</w:t>
      </w:r>
    </w:p>
    <w:p w:rsidR="006E0159" w:rsidRPr="009F2376" w:rsidRDefault="006E0159" w:rsidP="00AC33C4">
      <w:pPr>
        <w:pStyle w:val="ListParagraph"/>
        <w:spacing w:after="0" w:line="240" w:lineRule="auto"/>
        <w:ind w:left="1800"/>
        <w:rPr>
          <w:rFonts w:ascii="Times New Roman" w:hAnsi="Times New Roman"/>
        </w:rPr>
      </w:pPr>
    </w:p>
    <w:p w:rsidR="006E0159" w:rsidRPr="009F2376" w:rsidRDefault="006E0159" w:rsidP="00AC33C4">
      <w:pPr>
        <w:pStyle w:val="ListParagraph"/>
        <w:spacing w:after="0" w:line="240" w:lineRule="auto"/>
        <w:ind w:left="1800"/>
        <w:rPr>
          <w:rFonts w:ascii="Times New Roman" w:hAnsi="Times New Roman"/>
        </w:rPr>
      </w:pPr>
      <w:r w:rsidRPr="009F2376">
        <w:rPr>
          <w:rFonts w:ascii="Times New Roman" w:hAnsi="Times New Roman"/>
        </w:rPr>
        <w:t xml:space="preserve">Another difference with a variable product is how well (or poorly) the investments chosen by the policy owner compare to the investments selected by the insurance company for its non-variable policies.  Many insurance companies charge more for the cost of the term insurance component of a variable product than for that of a non-variable product.  That tends to reduce the potential investment return advantage that variable products may have.  Also, cash values are not guaranteed with a variable product as they sometimes are with traditional cash value policies.  Nonetheless, variable policies have been around for about 25 years and appear to have outperformed, on average, the investments made by insurance carriers in traditional </w:t>
      </w:r>
      <w:r w:rsidRPr="009F2376">
        <w:rPr>
          <w:rFonts w:ascii="Times New Roman" w:hAnsi="Times New Roman"/>
        </w:rPr>
        <w:lastRenderedPageBreak/>
        <w:t>cash value policies by a significant margin.  There are several reasons for that.  One is that the policy owner of a variable policy may direct that the cash value of his or her policy be invested in the stock market.  Stocks (except during periods of deflation) over the long haul (e.g., five year intervals) have almost always outperformed bonds and real estate which historically are where most insurance carriers invest their traditional cash value policies.</w:t>
      </w:r>
    </w:p>
    <w:p w:rsidR="006E0159" w:rsidRPr="009F2376" w:rsidRDefault="006E0159" w:rsidP="00AC33C4">
      <w:pPr>
        <w:pStyle w:val="ListParagraph"/>
        <w:spacing w:after="0" w:line="240" w:lineRule="auto"/>
        <w:ind w:left="1800"/>
        <w:rPr>
          <w:rFonts w:ascii="Times New Roman" w:hAnsi="Times New Roman"/>
        </w:rPr>
      </w:pPr>
    </w:p>
    <w:p w:rsidR="006E0159" w:rsidRPr="009F2376" w:rsidRDefault="006E0159" w:rsidP="00077D30">
      <w:pPr>
        <w:pStyle w:val="ListParagraph"/>
        <w:spacing w:after="0" w:line="240" w:lineRule="auto"/>
        <w:ind w:left="1800"/>
        <w:rPr>
          <w:rFonts w:ascii="Times New Roman" w:hAnsi="Times New Roman"/>
        </w:rPr>
      </w:pPr>
      <w:r w:rsidRPr="009F2376">
        <w:rPr>
          <w:rFonts w:ascii="Times New Roman" w:hAnsi="Times New Roman"/>
        </w:rPr>
        <w:t xml:space="preserve">Some professional advisors recommend against variable insurance on account of what might be called “the risk of choice.”  That is, they perceive that the owner of the policy faced with several choices will neglect to make the best one or even a good one.  They perceive that some owners either do not have (and will not acquire) the necessary expertise to make food investment selections or will not diligently exercise their expertise (or that of their advisors).  It is a reasonable contention.  It means that an owner probably should consider acquiring a variable policy in order to have greater investment flexibility or performance only if the owner has (or will obtain) adequate expertise and will prudently exercise it. </w:t>
      </w:r>
    </w:p>
    <w:p w:rsidR="006E0159" w:rsidRPr="009F2376" w:rsidRDefault="006E0159" w:rsidP="00077D30">
      <w:pPr>
        <w:spacing w:after="0" w:line="240" w:lineRule="auto"/>
        <w:rPr>
          <w:rFonts w:ascii="Times New Roman" w:hAnsi="Times New Roman"/>
        </w:rPr>
      </w:pPr>
    </w:p>
    <w:p w:rsidR="006E0159" w:rsidRPr="009F2376" w:rsidRDefault="006E0159" w:rsidP="00077D30">
      <w:pPr>
        <w:spacing w:after="0" w:line="240" w:lineRule="auto"/>
        <w:rPr>
          <w:rFonts w:ascii="Times New Roman" w:hAnsi="Times New Roman"/>
        </w:rPr>
      </w:pPr>
      <w:r w:rsidRPr="009F2376">
        <w:rPr>
          <w:rFonts w:ascii="Times New Roman" w:hAnsi="Times New Roman"/>
        </w:rPr>
        <w:tab/>
      </w:r>
    </w:p>
    <w:p w:rsidR="006E0159" w:rsidRPr="009F2376" w:rsidRDefault="006E0159" w:rsidP="004807C6">
      <w:pPr>
        <w:pStyle w:val="ListParagraph"/>
        <w:numPr>
          <w:ilvl w:val="0"/>
          <w:numId w:val="7"/>
        </w:numPr>
        <w:spacing w:after="0" w:line="240" w:lineRule="auto"/>
        <w:rPr>
          <w:rFonts w:ascii="Times New Roman" w:hAnsi="Times New Roman"/>
          <w:b/>
        </w:rPr>
      </w:pPr>
      <w:r w:rsidRPr="009F2376">
        <w:rPr>
          <w:rFonts w:ascii="Times New Roman" w:hAnsi="Times New Roman"/>
          <w:b/>
        </w:rPr>
        <w:t>TRADITIONAL REASONS FOR ACQUIRING INSURANCE</w:t>
      </w:r>
    </w:p>
    <w:p w:rsidR="006E0159" w:rsidRPr="009F2376" w:rsidRDefault="006E0159" w:rsidP="004807C6">
      <w:pPr>
        <w:pStyle w:val="ListParagraph"/>
        <w:spacing w:after="0" w:line="240" w:lineRule="auto"/>
        <w:ind w:left="1080"/>
        <w:rPr>
          <w:rFonts w:ascii="Times New Roman" w:hAnsi="Times New Roman"/>
        </w:rPr>
      </w:pPr>
    </w:p>
    <w:p w:rsidR="006E0159" w:rsidRPr="009F2376" w:rsidRDefault="006E0159" w:rsidP="004807C6">
      <w:pPr>
        <w:pStyle w:val="ListParagraph"/>
        <w:spacing w:after="0" w:line="240" w:lineRule="auto"/>
        <w:ind w:left="1080"/>
        <w:rPr>
          <w:rFonts w:ascii="Times New Roman" w:hAnsi="Times New Roman"/>
        </w:rPr>
      </w:pPr>
      <w:r w:rsidRPr="009F2376">
        <w:rPr>
          <w:rFonts w:ascii="Times New Roman" w:hAnsi="Times New Roman"/>
        </w:rPr>
        <w:t xml:space="preserve">The usual or traditional reasons to acquire life insurance include: to replace salary (or other earnings) that will disappear or be reduced upon death, to fund estate taxes (so that the base of wealth will not be eroded for surviving family members), to build wealth for other family members (so that, for example, children can complete their college educations), or to allow a closely-held business to continue operating after the owner’s death (by providing the company with cash to acquire an “expensive” new chief operating officer or to meet other business needs which are anticipated to arise on account of the owner’s death). </w:t>
      </w:r>
    </w:p>
    <w:p w:rsidR="006E0159" w:rsidRPr="009F2376" w:rsidRDefault="006E0159" w:rsidP="004807C6">
      <w:pPr>
        <w:pStyle w:val="ListParagraph"/>
        <w:spacing w:after="0" w:line="240" w:lineRule="auto"/>
        <w:ind w:left="1080"/>
        <w:rPr>
          <w:rFonts w:ascii="Times New Roman" w:hAnsi="Times New Roman"/>
        </w:rPr>
      </w:pPr>
    </w:p>
    <w:p w:rsidR="006E0159" w:rsidRPr="009F2376" w:rsidRDefault="006E0159" w:rsidP="004807C6">
      <w:pPr>
        <w:pStyle w:val="ListParagraph"/>
        <w:spacing w:after="0" w:line="240" w:lineRule="auto"/>
        <w:ind w:left="1080"/>
        <w:rPr>
          <w:rFonts w:ascii="Times New Roman" w:hAnsi="Times New Roman"/>
        </w:rPr>
      </w:pPr>
      <w:r w:rsidRPr="009F2376">
        <w:rPr>
          <w:rFonts w:ascii="Times New Roman" w:hAnsi="Times New Roman"/>
        </w:rPr>
        <w:t>It will be noted that all of those reasons have one thing in common: None of them benefits the insured personally because all of them relate to events after his or her death.  In other words, life insurance is something for somebody else.  However, there may be additional reasons for considering acquiring life insurance and some may benefit the insured during his or her lifetime.</w:t>
      </w:r>
    </w:p>
    <w:p w:rsidR="006E0159" w:rsidRPr="009F2376" w:rsidRDefault="006E0159" w:rsidP="00AE30E8">
      <w:pPr>
        <w:spacing w:after="0" w:line="240" w:lineRule="auto"/>
        <w:rPr>
          <w:rFonts w:ascii="Times New Roman" w:hAnsi="Times New Roman"/>
          <w:b/>
        </w:rPr>
      </w:pPr>
    </w:p>
    <w:p w:rsidR="006E0159" w:rsidRPr="009F2376" w:rsidRDefault="006E0159" w:rsidP="00AE30E8">
      <w:pPr>
        <w:spacing w:after="0" w:line="240" w:lineRule="auto"/>
        <w:rPr>
          <w:rFonts w:ascii="Times New Roman" w:hAnsi="Times New Roman"/>
          <w:b/>
        </w:rPr>
      </w:pPr>
    </w:p>
    <w:p w:rsidR="006E0159" w:rsidRDefault="006E0159" w:rsidP="00AE30E8">
      <w:pPr>
        <w:pStyle w:val="ListParagraph"/>
        <w:numPr>
          <w:ilvl w:val="0"/>
          <w:numId w:val="7"/>
        </w:numPr>
        <w:spacing w:after="0" w:line="240" w:lineRule="auto"/>
        <w:rPr>
          <w:rFonts w:ascii="Times New Roman" w:hAnsi="Times New Roman"/>
          <w:b/>
        </w:rPr>
      </w:pPr>
      <w:r w:rsidRPr="009F2376">
        <w:rPr>
          <w:rFonts w:ascii="Times New Roman" w:hAnsi="Times New Roman"/>
          <w:b/>
        </w:rPr>
        <w:t>OTHER REASONS FOR ACQUIRING LIFE INSURANCE</w:t>
      </w:r>
    </w:p>
    <w:p w:rsidR="006E0159" w:rsidRPr="009F2376" w:rsidRDefault="006E0159" w:rsidP="00C27432">
      <w:pPr>
        <w:pStyle w:val="ListParagraph"/>
        <w:spacing w:after="0" w:line="240" w:lineRule="auto"/>
        <w:ind w:left="1080"/>
        <w:rPr>
          <w:rFonts w:ascii="Times New Roman" w:hAnsi="Times New Roman"/>
          <w:b/>
        </w:rPr>
      </w:pPr>
    </w:p>
    <w:p w:rsidR="006E0159" w:rsidRPr="009F2376" w:rsidRDefault="006E0159" w:rsidP="00AE30E8">
      <w:pPr>
        <w:pStyle w:val="ListParagraph"/>
        <w:numPr>
          <w:ilvl w:val="0"/>
          <w:numId w:val="22"/>
        </w:numPr>
        <w:spacing w:after="0" w:line="240" w:lineRule="auto"/>
        <w:rPr>
          <w:rFonts w:ascii="Times New Roman" w:hAnsi="Times New Roman"/>
          <w:b/>
        </w:rPr>
      </w:pPr>
      <w:r w:rsidRPr="009F2376">
        <w:rPr>
          <w:rFonts w:ascii="Times New Roman" w:hAnsi="Times New Roman"/>
          <w:b/>
        </w:rPr>
        <w:t>Creditor Protection</w:t>
      </w:r>
    </w:p>
    <w:p w:rsidR="006E0159" w:rsidRPr="009F2376" w:rsidRDefault="006E0159" w:rsidP="00AE30E8">
      <w:pPr>
        <w:pStyle w:val="ListParagraph"/>
        <w:spacing w:after="0" w:line="240" w:lineRule="auto"/>
        <w:ind w:left="1440"/>
        <w:rPr>
          <w:rFonts w:ascii="Times New Roman" w:hAnsi="Times New Roman"/>
        </w:rPr>
      </w:pPr>
    </w:p>
    <w:p w:rsidR="006E0159" w:rsidRPr="009F2376" w:rsidRDefault="006E0159" w:rsidP="00AE30E8">
      <w:pPr>
        <w:pStyle w:val="ListParagraph"/>
        <w:spacing w:after="0" w:line="240" w:lineRule="auto"/>
        <w:ind w:left="1440"/>
        <w:rPr>
          <w:rFonts w:ascii="Times New Roman" w:hAnsi="Times New Roman"/>
        </w:rPr>
      </w:pPr>
      <w:r w:rsidRPr="009F2376">
        <w:rPr>
          <w:rFonts w:ascii="Times New Roman" w:hAnsi="Times New Roman"/>
        </w:rPr>
        <w:t xml:space="preserve">Life insurance policies may offer special creditor protection compared to other assets.  In some (but not all) states, it appears that the entire interest in a life insurance policy, including its cash value, cannot be attached by the owner’s creditors.  For example, even if the policyholder could demand the entire $1 million cash value of his or her life insurance policy at any time, the owner’s creditors, even in a bankruptcy </w:t>
      </w:r>
      <w:proofErr w:type="gramStart"/>
      <w:r w:rsidRPr="009F2376">
        <w:rPr>
          <w:rFonts w:ascii="Times New Roman" w:hAnsi="Times New Roman"/>
        </w:rPr>
        <w:t>proceeding,</w:t>
      </w:r>
      <w:proofErr w:type="gramEnd"/>
      <w:r w:rsidRPr="009F2376">
        <w:rPr>
          <w:rFonts w:ascii="Times New Roman" w:hAnsi="Times New Roman"/>
        </w:rPr>
        <w:t xml:space="preserve"> would be unable in several states to attach the policy or that $1 million cash value.</w:t>
      </w:r>
    </w:p>
    <w:p w:rsidR="006E0159" w:rsidRPr="009F2376" w:rsidRDefault="006E0159" w:rsidP="00AE30E8">
      <w:pPr>
        <w:pStyle w:val="ListParagraph"/>
        <w:spacing w:after="0" w:line="240" w:lineRule="auto"/>
        <w:ind w:left="1440"/>
        <w:rPr>
          <w:rFonts w:ascii="Times New Roman" w:hAnsi="Times New Roman"/>
        </w:rPr>
      </w:pPr>
    </w:p>
    <w:p w:rsidR="006E0159" w:rsidRPr="009F2376" w:rsidRDefault="006E0159" w:rsidP="00AE30E8">
      <w:pPr>
        <w:pStyle w:val="ListParagraph"/>
        <w:spacing w:after="0" w:line="240" w:lineRule="auto"/>
        <w:ind w:left="1440"/>
        <w:rPr>
          <w:rFonts w:ascii="Times New Roman" w:hAnsi="Times New Roman"/>
        </w:rPr>
      </w:pPr>
      <w:r w:rsidRPr="009F2376">
        <w:rPr>
          <w:rFonts w:ascii="Times New Roman" w:hAnsi="Times New Roman"/>
        </w:rPr>
        <w:t>As a practical matter other than interest in qualified retirement plans, life insurance may be the only asset which may have significant liquid value which is so protected.  (Some states, such as Florida, protect a principal residence from claims of creditors.  Obviously, that exception can be very important but it is not a liquid asset.)</w:t>
      </w:r>
    </w:p>
    <w:p w:rsidR="006E0159" w:rsidRPr="009F2376" w:rsidRDefault="006E0159" w:rsidP="00AE30E8">
      <w:pPr>
        <w:pStyle w:val="ListParagraph"/>
        <w:spacing w:after="0" w:line="240" w:lineRule="auto"/>
        <w:ind w:left="1440"/>
        <w:rPr>
          <w:rFonts w:ascii="Times New Roman" w:hAnsi="Times New Roman"/>
        </w:rPr>
      </w:pPr>
    </w:p>
    <w:p w:rsidR="006E0159" w:rsidRPr="009F2376" w:rsidRDefault="006E0159" w:rsidP="00AE30E8">
      <w:pPr>
        <w:pStyle w:val="ListParagraph"/>
        <w:spacing w:after="0" w:line="240" w:lineRule="auto"/>
        <w:ind w:left="1440"/>
        <w:rPr>
          <w:rFonts w:ascii="Times New Roman" w:hAnsi="Times New Roman"/>
        </w:rPr>
      </w:pPr>
      <w:r w:rsidRPr="009F2376">
        <w:rPr>
          <w:rFonts w:ascii="Times New Roman" w:hAnsi="Times New Roman"/>
        </w:rPr>
        <w:lastRenderedPageBreak/>
        <w:t>As mentioned, not all states offer that creditor protection for life insurance policies, including cash value, from claims of the owner’s creditors.  It appears that the question of whether that protection exists depends upon the owner’s residence at the time the creditor attempts to attach the property or the bankruptcy proceeding commences.  Moreover, if a policy is acquired or cash added to it with the intention to defraud creditors (i.e., it is a transfer with the intention to defraud creditors), all or part of the policy probably will not be protected from the claims of</w:t>
      </w:r>
      <w:r>
        <w:rPr>
          <w:rFonts w:ascii="Times New Roman" w:hAnsi="Times New Roman"/>
        </w:rPr>
        <w:t xml:space="preserve"> the policyholder’s creditors.</w:t>
      </w:r>
      <w:r>
        <w:rPr>
          <w:rStyle w:val="FootnoteReference"/>
          <w:rFonts w:ascii="Times New Roman" w:hAnsi="Times New Roman"/>
        </w:rPr>
        <w:footnoteReference w:id="4"/>
      </w:r>
    </w:p>
    <w:p w:rsidR="006E0159" w:rsidRPr="009F2376" w:rsidRDefault="006E0159" w:rsidP="00AE30E8">
      <w:pPr>
        <w:pStyle w:val="ListParagraph"/>
        <w:spacing w:after="0" w:line="240" w:lineRule="auto"/>
        <w:ind w:left="1440"/>
        <w:rPr>
          <w:rFonts w:ascii="Times New Roman" w:hAnsi="Times New Roman"/>
        </w:rPr>
      </w:pPr>
    </w:p>
    <w:p w:rsidR="006E0159" w:rsidRPr="009F2376" w:rsidRDefault="006E0159" w:rsidP="00AE30E8">
      <w:pPr>
        <w:pStyle w:val="ListParagraph"/>
        <w:spacing w:after="0" w:line="240" w:lineRule="auto"/>
        <w:ind w:left="1440"/>
        <w:rPr>
          <w:rFonts w:ascii="Times New Roman" w:hAnsi="Times New Roman"/>
        </w:rPr>
      </w:pPr>
      <w:r w:rsidRPr="009F2376">
        <w:rPr>
          <w:rFonts w:ascii="Times New Roman" w:hAnsi="Times New Roman"/>
        </w:rPr>
        <w:t>Although the creditor protection offered by the policy of insurance can be of extreme importance, often the insurance will be owned by someone other than the insured (to avoid estate taxation of the proceeds and, perhaps, for other reasons).  In fact, in many cases, a trust for the insured’s family will own the policy.  As a general rule, that trust will provide its own protection from claims of the creditors both of the insured and of the trust beneficiaries.  As a consequence, in many cases, the protection which is afforded against claims of creditors of a policy of insurance in some states may not be of importance because the life insurance policy will be protected in any case because it is owned by a trust.  However, the creditor protection provided by using a trust and the creditor protection afforded by the policy itself can be different and can have different ramifications.  For example, in the United States, an individual can usually protect assets from claims of creditors by creating a trust only if the creator is excluded as a trust beneficiary.  Where state law protects a life insurance policy from claims of creditors, the insured can continue to own the policy directly – and that will allow him or her direct access to its cash value (something which cannot be done if the property has been transferred into a trust for others).</w:t>
      </w:r>
    </w:p>
    <w:p w:rsidR="006E0159" w:rsidRPr="009F2376" w:rsidRDefault="006E0159" w:rsidP="00AE30E8">
      <w:pPr>
        <w:pStyle w:val="ListParagraph"/>
        <w:spacing w:after="0" w:line="240" w:lineRule="auto"/>
        <w:ind w:left="1440"/>
        <w:rPr>
          <w:rFonts w:ascii="Times New Roman" w:hAnsi="Times New Roman"/>
        </w:rPr>
      </w:pPr>
    </w:p>
    <w:p w:rsidR="006E0159" w:rsidRPr="009F2376" w:rsidRDefault="006E0159" w:rsidP="005272C1">
      <w:pPr>
        <w:pStyle w:val="ListParagraph"/>
        <w:numPr>
          <w:ilvl w:val="0"/>
          <w:numId w:val="22"/>
        </w:numPr>
        <w:spacing w:after="0" w:line="240" w:lineRule="auto"/>
        <w:rPr>
          <w:rFonts w:ascii="Times New Roman" w:hAnsi="Times New Roman"/>
          <w:b/>
        </w:rPr>
      </w:pPr>
      <w:r w:rsidRPr="009F2376">
        <w:rPr>
          <w:rFonts w:ascii="Times New Roman" w:hAnsi="Times New Roman"/>
          <w:b/>
        </w:rPr>
        <w:t>Tax Benefits</w:t>
      </w:r>
    </w:p>
    <w:p w:rsidR="006E0159" w:rsidRPr="009F2376" w:rsidRDefault="006E0159" w:rsidP="00F41F64">
      <w:pPr>
        <w:pStyle w:val="ListParagraph"/>
        <w:spacing w:after="0" w:line="240" w:lineRule="auto"/>
        <w:ind w:left="1440"/>
        <w:rPr>
          <w:rFonts w:ascii="Times New Roman" w:hAnsi="Times New Roman"/>
        </w:rPr>
      </w:pPr>
    </w:p>
    <w:p w:rsidR="006E0159" w:rsidRPr="009F2376" w:rsidRDefault="006E0159" w:rsidP="00F41F64">
      <w:pPr>
        <w:pStyle w:val="ListParagraph"/>
        <w:spacing w:after="0" w:line="240" w:lineRule="auto"/>
        <w:ind w:left="1440"/>
        <w:rPr>
          <w:rFonts w:ascii="Times New Roman" w:hAnsi="Times New Roman"/>
        </w:rPr>
      </w:pPr>
      <w:r w:rsidRPr="009F2376">
        <w:rPr>
          <w:rFonts w:ascii="Times New Roman" w:hAnsi="Times New Roman"/>
        </w:rPr>
        <w:t>Life insurance is uniquely treated under the Internal Revenue Code.  The treatment is, in almost all respects, beneficial.  First, it is relatively simple to avoid the estate taxation of life insurance proceeds.  As long as the insured holds no “incident of ownership” within the meaning of IRC § 2042 at or within three years of death and the proceeds are not paid to or for the estate of the insured, the proceeds are not includabl</w:t>
      </w:r>
      <w:r>
        <w:rPr>
          <w:rFonts w:ascii="Times New Roman" w:hAnsi="Times New Roman"/>
        </w:rPr>
        <w:t>e in the estate of the insured.</w:t>
      </w:r>
      <w:r>
        <w:rPr>
          <w:rStyle w:val="FootnoteReference"/>
          <w:rFonts w:ascii="Times New Roman" w:hAnsi="Times New Roman"/>
        </w:rPr>
        <w:footnoteReference w:id="5"/>
      </w:r>
      <w:r w:rsidRPr="009F2376">
        <w:rPr>
          <w:rFonts w:ascii="Times New Roman" w:hAnsi="Times New Roman"/>
        </w:rPr>
        <w:t xml:space="preserve">  Second, dividends received on a policy of insurance are not subject to income tax except to the extent that they exceed the total premiums paid.  Third, under IRC § 72 the increase in value of the cash value component of life insurance is not subject to income tax until the profit is withdrawn from the policy.  Fourth, except for certain single premium and other “modified endowment contract” policies, the owner may withdraw profit earned on the cash value, up to the total premiums paid, without paying any income tax on such profits.  In other words, the owner can withdraw his or her investment (or basis) first from the policy and be treated as though he or she left the profit in the policy (thereby keeping it from being taxed).  (It should be noted, however, that only certain types of policies, such as most universal policies, permit withdrawals of cash.  Most traditional cash value policies do not; any cash withdrawn is considered a borrowing upon which interest must be paid.)  Fifth, again except for a modified endowment contract policy,</w:t>
      </w:r>
      <w:r>
        <w:rPr>
          <w:rStyle w:val="FootnoteReference"/>
          <w:rFonts w:ascii="Times New Roman" w:hAnsi="Times New Roman"/>
        </w:rPr>
        <w:footnoteReference w:id="6"/>
      </w:r>
      <w:r w:rsidRPr="009F2376">
        <w:rPr>
          <w:rFonts w:ascii="Times New Roman" w:hAnsi="Times New Roman"/>
        </w:rPr>
        <w:t xml:space="preserve"> the owner can borrow the entire cash value of the policy, including the profit element, without causing the profit to be subjected to income tax.  (Because the </w:t>
      </w:r>
      <w:r w:rsidRPr="009F2376">
        <w:rPr>
          <w:rFonts w:ascii="Times New Roman" w:hAnsi="Times New Roman"/>
        </w:rPr>
        <w:lastRenderedPageBreak/>
        <w:t>insurance company pays earnings even on funds borrowed from the policy, the annual cost of the borrowing may be quite small – in fact, in some policies, there may be no cost, because the interest charged on the borrowing is offset by the same amount which is credited “inside” the policy on the amount borrowed and this amount credited also can be borrowed income tax free.)  Sixth, in almost all cases, all the inherent income tax liability with respect to the policy disappears under IRC § 101 (a</w:t>
      </w:r>
      <w:proofErr w:type="gramStart"/>
      <w:r w:rsidRPr="009F2376">
        <w:rPr>
          <w:rFonts w:ascii="Times New Roman" w:hAnsi="Times New Roman"/>
        </w:rPr>
        <w:t>)(</w:t>
      </w:r>
      <w:proofErr w:type="gramEnd"/>
      <w:r w:rsidRPr="009F2376">
        <w:rPr>
          <w:rFonts w:ascii="Times New Roman" w:hAnsi="Times New Roman"/>
        </w:rPr>
        <w:t xml:space="preserve">1) when the insured dies.  </w:t>
      </w:r>
    </w:p>
    <w:p w:rsidR="006E0159" w:rsidRPr="009F2376" w:rsidRDefault="006E0159" w:rsidP="00F41F64">
      <w:pPr>
        <w:pStyle w:val="ListParagraph"/>
        <w:spacing w:after="0" w:line="240" w:lineRule="auto"/>
        <w:ind w:left="1440"/>
        <w:rPr>
          <w:rFonts w:ascii="Times New Roman" w:hAnsi="Times New Roman"/>
        </w:rPr>
      </w:pPr>
    </w:p>
    <w:p w:rsidR="006E0159" w:rsidRPr="009F2376" w:rsidRDefault="006E0159" w:rsidP="00F41F64">
      <w:pPr>
        <w:pStyle w:val="ListParagraph"/>
        <w:spacing w:after="0" w:line="240" w:lineRule="auto"/>
        <w:ind w:left="1440"/>
        <w:rPr>
          <w:rFonts w:ascii="Times New Roman" w:hAnsi="Times New Roman"/>
        </w:rPr>
      </w:pPr>
      <w:r w:rsidRPr="009F2376">
        <w:rPr>
          <w:rFonts w:ascii="Times New Roman" w:hAnsi="Times New Roman"/>
        </w:rPr>
        <w:t>Those special tax benefits which a life insurance policy offers are of extreme importance to consider in structuring an insurance program because, among other things, some of them can be used to reduce the cost of insurance.</w:t>
      </w:r>
    </w:p>
    <w:p w:rsidR="006E0159" w:rsidRPr="009F2376" w:rsidRDefault="006E0159" w:rsidP="00F41F64">
      <w:pPr>
        <w:pStyle w:val="ListParagraph"/>
        <w:spacing w:after="0" w:line="240" w:lineRule="auto"/>
        <w:ind w:left="1440"/>
        <w:rPr>
          <w:rFonts w:ascii="Times New Roman" w:hAnsi="Times New Roman"/>
        </w:rPr>
      </w:pPr>
    </w:p>
    <w:p w:rsidR="006E0159" w:rsidRPr="009F2376" w:rsidRDefault="006E0159" w:rsidP="0032164A">
      <w:pPr>
        <w:pStyle w:val="ListParagraph"/>
        <w:numPr>
          <w:ilvl w:val="0"/>
          <w:numId w:val="22"/>
        </w:numPr>
        <w:spacing w:after="0" w:line="240" w:lineRule="auto"/>
        <w:rPr>
          <w:rFonts w:ascii="Times New Roman" w:hAnsi="Times New Roman"/>
          <w:b/>
        </w:rPr>
      </w:pPr>
      <w:r w:rsidRPr="009F2376">
        <w:rPr>
          <w:rFonts w:ascii="Times New Roman" w:hAnsi="Times New Roman"/>
          <w:b/>
        </w:rPr>
        <w:t>Income Tax-Free build-Up</w:t>
      </w:r>
    </w:p>
    <w:p w:rsidR="006E0159" w:rsidRPr="009F2376" w:rsidRDefault="006E0159" w:rsidP="0032164A">
      <w:pPr>
        <w:pStyle w:val="ListParagraph"/>
        <w:spacing w:after="0" w:line="240" w:lineRule="auto"/>
        <w:ind w:left="1440"/>
        <w:rPr>
          <w:rFonts w:ascii="Times New Roman" w:hAnsi="Times New Roman"/>
        </w:rPr>
      </w:pPr>
    </w:p>
    <w:p w:rsidR="006E0159" w:rsidRPr="009F2376" w:rsidRDefault="006E0159" w:rsidP="0032164A">
      <w:pPr>
        <w:pStyle w:val="ListParagraph"/>
        <w:spacing w:after="0" w:line="240" w:lineRule="auto"/>
        <w:ind w:left="1440"/>
        <w:rPr>
          <w:rFonts w:ascii="Times New Roman" w:hAnsi="Times New Roman"/>
        </w:rPr>
      </w:pPr>
      <w:r w:rsidRPr="009F2376">
        <w:rPr>
          <w:rFonts w:ascii="Times New Roman" w:hAnsi="Times New Roman"/>
        </w:rPr>
        <w:t>As indicated, earnings on cash value in an insurance policy build under IRC § 72 income tax-free (until withdrawn) as long as the policy constitutes a life insurance contract under the Internal Revenue Code.  In addition to being a life insurance contract under state law, the policy must meet certain tests set forth in the Code.  See IRC § 7702(a).  Although alternative tests are provided under the tax law, generally, only a maximum annual premium can be paid and the cash (or investment) value of the policy cannot exceed a certain level, based upon the amount of term insurance being carried.  The older the insured, the more the premium and the value can be.  If earnings are very high inside the policy, the contract may lose its status as a life insurance policy.  From that point on, earning will be taxed directly to the policy’s owner as though the owner were maintaining, in effect, a brokerage account at an investment brokerage firm.</w:t>
      </w:r>
    </w:p>
    <w:p w:rsidR="006E0159" w:rsidRPr="009F2376" w:rsidRDefault="006E0159" w:rsidP="0032164A">
      <w:pPr>
        <w:pStyle w:val="ListParagraph"/>
        <w:spacing w:after="0" w:line="240" w:lineRule="auto"/>
        <w:ind w:left="1440"/>
        <w:rPr>
          <w:rFonts w:ascii="Times New Roman" w:hAnsi="Times New Roman"/>
        </w:rPr>
      </w:pPr>
    </w:p>
    <w:p w:rsidR="006E0159" w:rsidRPr="009F2376" w:rsidRDefault="006E0159" w:rsidP="0032164A">
      <w:pPr>
        <w:pStyle w:val="ListParagraph"/>
        <w:spacing w:after="0" w:line="240" w:lineRule="auto"/>
        <w:ind w:left="1440"/>
        <w:rPr>
          <w:rFonts w:ascii="Times New Roman" w:hAnsi="Times New Roman"/>
        </w:rPr>
      </w:pPr>
      <w:r w:rsidRPr="009F2376">
        <w:rPr>
          <w:rFonts w:ascii="Times New Roman" w:hAnsi="Times New Roman"/>
        </w:rPr>
        <w:t>Virtually all life insurance contracts provide that the company can refuse to accept additional premiums from the owner if that would cause the contract to fail to maintain its status as a life insurance policy.  In addition, if the earnings are so great that the policy would lose its status as a life insurance contract for tax purposes, the insurance company almost always will be required under the policy to sell the owner additional insurance, without medical examination, so that the policy can maintain its life insurance contract status under the tax law.  Alternatively, the owner will have to withdraw cash value from the policy in order for the contract to maintain its tax status.  If there is any possibility of that happening, it is much better, as a general rule, for the policy not to be a modified endowment contract.  If it is a modified endowment contract, probably the entire amount withdrawn will be includable in gross income (because with such a policy, earnings are treated as being withdrawn first).  If it is not a modified endowment contract, only to the extent the amount withdrawn exceeds total premiums paid (less dividends received) will it be includable in gross income.</w:t>
      </w:r>
    </w:p>
    <w:p w:rsidR="006E0159" w:rsidRPr="009F2376" w:rsidRDefault="006E0159" w:rsidP="0032164A">
      <w:pPr>
        <w:pStyle w:val="ListParagraph"/>
        <w:spacing w:after="0" w:line="240" w:lineRule="auto"/>
        <w:ind w:left="1440"/>
        <w:rPr>
          <w:rFonts w:ascii="Times New Roman" w:hAnsi="Times New Roman"/>
        </w:rPr>
      </w:pPr>
    </w:p>
    <w:p w:rsidR="006E0159" w:rsidRPr="009F2376" w:rsidRDefault="006E0159" w:rsidP="0032164A">
      <w:pPr>
        <w:pStyle w:val="ListParagraph"/>
        <w:spacing w:after="0" w:line="240" w:lineRule="auto"/>
        <w:ind w:left="1440"/>
        <w:rPr>
          <w:rFonts w:ascii="Times New Roman" w:hAnsi="Times New Roman"/>
        </w:rPr>
      </w:pPr>
      <w:r w:rsidRPr="009F2376">
        <w:rPr>
          <w:rFonts w:ascii="Times New Roman" w:hAnsi="Times New Roman"/>
        </w:rPr>
        <w:t xml:space="preserve">Although the tax law places limits on the amount which can be invested in and built up in a life insurance policy, for many, the amounts are significant.  Chart 5 provides an illustration of the amounts which can be built up over 20 years under a $2 million policy taken out on the life of a 46 year old.  </w:t>
      </w:r>
    </w:p>
    <w:p w:rsidR="006E0159" w:rsidRPr="009F2376" w:rsidRDefault="006E0159" w:rsidP="0032164A">
      <w:pPr>
        <w:pStyle w:val="ListParagraph"/>
        <w:spacing w:after="0" w:line="240" w:lineRule="auto"/>
        <w:ind w:left="1440"/>
        <w:rPr>
          <w:rFonts w:ascii="Times New Roman" w:hAnsi="Times New Roman"/>
        </w:rPr>
      </w:pPr>
    </w:p>
    <w:p w:rsidR="006E0159" w:rsidRPr="009F2376" w:rsidRDefault="006E0159" w:rsidP="00EE6908">
      <w:pPr>
        <w:spacing w:after="0" w:line="240" w:lineRule="auto"/>
        <w:rPr>
          <w:rFonts w:ascii="Times New Roman" w:hAnsi="Times New Roman"/>
        </w:rPr>
      </w:pPr>
    </w:p>
    <w:p w:rsidR="006E0159" w:rsidRPr="009F2376" w:rsidRDefault="006E0159" w:rsidP="00653D20">
      <w:pPr>
        <w:pStyle w:val="ListParagraph"/>
        <w:numPr>
          <w:ilvl w:val="0"/>
          <w:numId w:val="7"/>
        </w:numPr>
        <w:spacing w:after="0" w:line="240" w:lineRule="auto"/>
        <w:rPr>
          <w:rFonts w:ascii="Times New Roman" w:hAnsi="Times New Roman"/>
          <w:b/>
        </w:rPr>
      </w:pPr>
      <w:r w:rsidRPr="009F2376">
        <w:rPr>
          <w:rFonts w:ascii="Times New Roman" w:hAnsi="Times New Roman"/>
          <w:b/>
        </w:rPr>
        <w:t>COMPANY AND PRODUCT QUALITY</w:t>
      </w:r>
    </w:p>
    <w:p w:rsidR="006E0159" w:rsidRPr="009F2376" w:rsidRDefault="006E0159" w:rsidP="00653D20">
      <w:pPr>
        <w:pStyle w:val="ListParagraph"/>
        <w:spacing w:after="0" w:line="240" w:lineRule="auto"/>
        <w:ind w:left="1080"/>
        <w:rPr>
          <w:rFonts w:ascii="Times New Roman" w:hAnsi="Times New Roman"/>
        </w:rPr>
      </w:pPr>
    </w:p>
    <w:p w:rsidR="006E0159" w:rsidRPr="009F2376" w:rsidRDefault="006E0159" w:rsidP="00653D20">
      <w:pPr>
        <w:pStyle w:val="ListParagraph"/>
        <w:spacing w:after="0" w:line="240" w:lineRule="auto"/>
        <w:ind w:left="1080"/>
        <w:rPr>
          <w:rFonts w:ascii="Times New Roman" w:hAnsi="Times New Roman"/>
        </w:rPr>
      </w:pPr>
      <w:r w:rsidRPr="009F2376">
        <w:rPr>
          <w:rFonts w:ascii="Times New Roman" w:hAnsi="Times New Roman"/>
        </w:rPr>
        <w:t xml:space="preserve">Although banking is one of the most regulated industries in the United States, the quality of banks varies widely.  The quality of insurance companies varies widely too although few insurance companies have experienced the severe problems that some banks and savings </w:t>
      </w:r>
      <w:r w:rsidRPr="009F2376">
        <w:rPr>
          <w:rFonts w:ascii="Times New Roman" w:hAnsi="Times New Roman"/>
        </w:rPr>
        <w:lastRenderedPageBreak/>
        <w:t>institutions have.  Some insurance companies are much more efficient than others; some are more financially sound than others; some are more innovative and responsive than others.  The financial position of the company will have a significant impact on the quality and financial security of the policy.  Some states provide a type of insurance protection for a policy governed by that state, but only up to certain limits.</w:t>
      </w:r>
    </w:p>
    <w:p w:rsidR="006E0159" w:rsidRPr="009F2376" w:rsidRDefault="006E0159" w:rsidP="00653D20">
      <w:pPr>
        <w:pStyle w:val="ListParagraph"/>
        <w:spacing w:after="0" w:line="240" w:lineRule="auto"/>
        <w:ind w:left="1080"/>
        <w:rPr>
          <w:rFonts w:ascii="Times New Roman" w:hAnsi="Times New Roman"/>
        </w:rPr>
      </w:pPr>
    </w:p>
    <w:p w:rsidR="006E0159" w:rsidRPr="009F2376" w:rsidRDefault="006E0159" w:rsidP="00CF77B5">
      <w:pPr>
        <w:pStyle w:val="ListParagraph"/>
        <w:spacing w:after="0" w:line="240" w:lineRule="auto"/>
        <w:ind w:left="1080"/>
        <w:rPr>
          <w:rFonts w:ascii="Times New Roman" w:hAnsi="Times New Roman"/>
        </w:rPr>
      </w:pPr>
      <w:r w:rsidRPr="009F2376">
        <w:rPr>
          <w:rFonts w:ascii="Times New Roman" w:hAnsi="Times New Roman"/>
        </w:rPr>
        <w:t xml:space="preserve">Many policyholders of some insurance carriers have learned that they may not get what they paid for because the carrier has gone into receivership.  (However, in modern times, no American insurance company has failed to pay a death claim although not all payments required under annuity contracts have been paid.)  Hence, the quality of the insurance company is very important.  Ratings of insurance company quality are available.  However, the ratings often are inadequate.  For example, immediately prior to the state takeover of one of America’s large life insurance companies because of its terrible financial problems, the company was carrying the highest rating from one rating service.  That is not to say that the ratings should not be considered.  There are four major insurance rating services (A.M. Best, Standard &amp; Poor’s, Moody’s, and Duff &amp; Phelps) and advisors should check all of them before buying a product from a particular carrier.  A professional insurance advisor can supply that information.  </w:t>
      </w:r>
    </w:p>
    <w:p w:rsidR="006E0159" w:rsidRPr="009F2376" w:rsidRDefault="006E0159" w:rsidP="00CF77B5">
      <w:pPr>
        <w:pStyle w:val="ListParagraph"/>
        <w:spacing w:after="0" w:line="240" w:lineRule="auto"/>
        <w:ind w:left="1080"/>
        <w:rPr>
          <w:rFonts w:ascii="Times New Roman" w:hAnsi="Times New Roman"/>
        </w:rPr>
      </w:pPr>
    </w:p>
    <w:p w:rsidR="006E0159" w:rsidRPr="009F2376" w:rsidRDefault="006E0159" w:rsidP="00EB0221">
      <w:pPr>
        <w:pStyle w:val="ListParagraph"/>
        <w:spacing w:after="0" w:line="240" w:lineRule="auto"/>
        <w:ind w:left="1080"/>
        <w:rPr>
          <w:rFonts w:ascii="Times New Roman" w:hAnsi="Times New Roman"/>
        </w:rPr>
      </w:pPr>
      <w:r w:rsidRPr="009F2376">
        <w:rPr>
          <w:rFonts w:ascii="Times New Roman" w:hAnsi="Times New Roman"/>
        </w:rPr>
        <w:t>Unfortunately, the ratings of companies and their products are sometimes so complex and so contradictory that it is often difficult for a purchaser to be able to discern comparative company quality.  Moreover, sales representatives of less well rated companies may point to alternative rating services in which their company has a better rating.  Alternatively, they will point out that ratings change over time and that even if the owner chooses a company with the highest rating today it may not have that rating at the time when the death benefit becomes payable to the beneficiaries.  In any case, an insured may decide to buy a product from a company only if it has a top rating from at least two of the rating services.</w:t>
      </w:r>
    </w:p>
    <w:p w:rsidR="006E0159" w:rsidRPr="009F2376" w:rsidRDefault="006E0159" w:rsidP="00EB0221">
      <w:pPr>
        <w:pStyle w:val="ListParagraph"/>
        <w:spacing w:after="0" w:line="240" w:lineRule="auto"/>
        <w:ind w:left="1080"/>
        <w:rPr>
          <w:rFonts w:ascii="Times New Roman" w:hAnsi="Times New Roman"/>
        </w:rPr>
      </w:pPr>
    </w:p>
    <w:p w:rsidR="006E0159" w:rsidRPr="009F2376" w:rsidRDefault="006E0159" w:rsidP="009B6A3A">
      <w:pPr>
        <w:pStyle w:val="ListParagraph"/>
        <w:spacing w:after="0" w:line="240" w:lineRule="auto"/>
        <w:ind w:left="1080"/>
        <w:rPr>
          <w:rFonts w:ascii="Times New Roman" w:hAnsi="Times New Roman"/>
        </w:rPr>
      </w:pPr>
      <w:r w:rsidRPr="009F2376">
        <w:rPr>
          <w:rFonts w:ascii="Times New Roman" w:hAnsi="Times New Roman"/>
        </w:rPr>
        <w:t>The quality of products also varies widely even if the insurance companies offering those products are in the same financial position.  In fact, the quality of products varies even within the same company.  One company, for example, may offer a very high-quality term product but a poor quality cash value policy.  If the owner intends to make a significant investment in a life insurance policy or policies, it may pay to hire an independent advisor to assist with the analysis and to make recommendations.  Also, if the owner is going to buy a considerable amount of life insurance, it may be appropriate to consider acquiring policies from more than one carrier.  That allows the insured to spread the risk of insurance company financial problems.</w:t>
      </w:r>
    </w:p>
    <w:p w:rsidR="006E0159" w:rsidRPr="009F2376" w:rsidRDefault="006E0159" w:rsidP="009B6A3A">
      <w:pPr>
        <w:spacing w:after="0" w:line="240" w:lineRule="auto"/>
        <w:rPr>
          <w:rFonts w:ascii="Times New Roman" w:hAnsi="Times New Roman"/>
        </w:rPr>
      </w:pPr>
    </w:p>
    <w:p w:rsidR="006E0159" w:rsidRDefault="006E0159" w:rsidP="009B6A3A">
      <w:pPr>
        <w:pStyle w:val="ListParagraph"/>
        <w:numPr>
          <w:ilvl w:val="0"/>
          <w:numId w:val="7"/>
        </w:numPr>
        <w:spacing w:after="0" w:line="240" w:lineRule="auto"/>
        <w:rPr>
          <w:rFonts w:ascii="Times New Roman" w:hAnsi="Times New Roman"/>
          <w:b/>
        </w:rPr>
      </w:pPr>
      <w:r w:rsidRPr="009F2376">
        <w:rPr>
          <w:rFonts w:ascii="Times New Roman" w:hAnsi="Times New Roman"/>
          <w:b/>
        </w:rPr>
        <w:t>“TAX DEDUCTIBLE” LIFE INSURANCE</w:t>
      </w:r>
    </w:p>
    <w:p w:rsidR="006E0159" w:rsidRPr="009F2376" w:rsidRDefault="006E0159" w:rsidP="00F00089">
      <w:pPr>
        <w:pStyle w:val="ListParagraph"/>
        <w:spacing w:after="0" w:line="240" w:lineRule="auto"/>
        <w:ind w:left="1080"/>
        <w:rPr>
          <w:rFonts w:ascii="Times New Roman" w:hAnsi="Times New Roman"/>
          <w:b/>
        </w:rPr>
      </w:pPr>
    </w:p>
    <w:p w:rsidR="006E0159" w:rsidRPr="009F2376" w:rsidRDefault="006E0159" w:rsidP="009B6A3A">
      <w:pPr>
        <w:pStyle w:val="ListParagraph"/>
        <w:numPr>
          <w:ilvl w:val="0"/>
          <w:numId w:val="23"/>
        </w:numPr>
        <w:spacing w:after="0" w:line="240" w:lineRule="auto"/>
        <w:rPr>
          <w:rFonts w:ascii="Times New Roman" w:hAnsi="Times New Roman"/>
          <w:b/>
        </w:rPr>
      </w:pPr>
      <w:r w:rsidRPr="009F2376">
        <w:rPr>
          <w:rFonts w:ascii="Times New Roman" w:hAnsi="Times New Roman"/>
          <w:b/>
        </w:rPr>
        <w:t>The Myth of Pension Plan Life Insurance</w:t>
      </w:r>
    </w:p>
    <w:p w:rsidR="006E0159" w:rsidRPr="009F2376" w:rsidRDefault="006E0159" w:rsidP="009B6A3A">
      <w:pPr>
        <w:pStyle w:val="ListParagraph"/>
        <w:spacing w:after="0" w:line="240" w:lineRule="auto"/>
        <w:ind w:left="1440"/>
        <w:rPr>
          <w:rFonts w:ascii="Times New Roman" w:hAnsi="Times New Roman"/>
        </w:rPr>
      </w:pPr>
    </w:p>
    <w:p w:rsidR="006E0159" w:rsidRPr="009F2376" w:rsidRDefault="006E0159" w:rsidP="009B6A3A">
      <w:pPr>
        <w:pStyle w:val="ListParagraph"/>
        <w:spacing w:after="0" w:line="240" w:lineRule="auto"/>
        <w:ind w:left="1440"/>
        <w:rPr>
          <w:rFonts w:ascii="Times New Roman" w:hAnsi="Times New Roman"/>
        </w:rPr>
      </w:pPr>
      <w:r w:rsidRPr="009F2376">
        <w:rPr>
          <w:rFonts w:ascii="Times New Roman" w:hAnsi="Times New Roman"/>
        </w:rPr>
        <w:t>Contributions to qualified retirement plans generally are income tax deductible.  Sometimes it will be recommended that the plan acquire life insurance.  (Only certain types of plans and never IRAs can own life insurance.)  The contention made is that the life insurance is being purchased with tax deductible dollars.  Life insurance premiums are not deductible for income tax purposes</w:t>
      </w:r>
      <w:proofErr w:type="gramStart"/>
      <w:r w:rsidRPr="009F2376">
        <w:rPr>
          <w:rFonts w:ascii="Times New Roman" w:hAnsi="Times New Roman"/>
        </w:rPr>
        <w:t>,n7</w:t>
      </w:r>
      <w:proofErr w:type="gramEnd"/>
      <w:r w:rsidRPr="009F2376">
        <w:rPr>
          <w:rFonts w:ascii="Times New Roman" w:hAnsi="Times New Roman"/>
        </w:rPr>
        <w:t xml:space="preserve"> except in the case where one person, such as an employer, deducts the cost of them, but someone else, such as an employee, must include the cost of premiums in income.  Hence, the contention that the premiums on life insurance have become deductible sounds inviting.  (In fact, if the insured is in a 50% income tax bracket, it would mean the cost of the insurance has been cut in half.)  </w:t>
      </w:r>
      <w:r w:rsidRPr="009F2376">
        <w:rPr>
          <w:rFonts w:ascii="Times New Roman" w:hAnsi="Times New Roman"/>
        </w:rPr>
        <w:lastRenderedPageBreak/>
        <w:t xml:space="preserve">However, such a contention misrepresents what really occurs.  No investment made by a qualified plan, whether it is in life insurance, stocks or municipal bonds is deductible.  Rather, funds contributed to the qualified retirement plan are.  What happens to the funds after they are contributed in no way affects whether the deduction for the contribution is </w:t>
      </w:r>
      <w:proofErr w:type="gramStart"/>
      <w:r w:rsidRPr="009F2376">
        <w:rPr>
          <w:rFonts w:ascii="Times New Roman" w:hAnsi="Times New Roman"/>
        </w:rPr>
        <w:t>permitted.</w:t>
      </w:r>
      <w:proofErr w:type="gramEnd"/>
      <w:r w:rsidRPr="009F2376">
        <w:rPr>
          <w:rFonts w:ascii="Times New Roman" w:hAnsi="Times New Roman"/>
        </w:rPr>
        <w:t xml:space="preserve">  The same dollars are available for investment whether the investment is made in a life insurance policy, bonds, stocks or any other investment which may be lawfully made by the retirement plan.  Hence, the cost of insurance is not really made tax deductible at all.</w:t>
      </w:r>
    </w:p>
    <w:p w:rsidR="006E0159" w:rsidRPr="009F2376" w:rsidRDefault="006E0159" w:rsidP="009B6A3A">
      <w:pPr>
        <w:pStyle w:val="ListParagraph"/>
        <w:spacing w:after="0" w:line="240" w:lineRule="auto"/>
        <w:ind w:left="1440"/>
        <w:rPr>
          <w:rFonts w:ascii="Times New Roman" w:hAnsi="Times New Roman"/>
        </w:rPr>
      </w:pPr>
    </w:p>
    <w:p w:rsidR="006E0159" w:rsidRPr="009F2376" w:rsidRDefault="006E0159" w:rsidP="009B6A3A">
      <w:pPr>
        <w:pStyle w:val="ListParagraph"/>
        <w:spacing w:after="0" w:line="240" w:lineRule="auto"/>
        <w:ind w:left="1440"/>
        <w:rPr>
          <w:rFonts w:ascii="Times New Roman" w:hAnsi="Times New Roman"/>
        </w:rPr>
      </w:pPr>
      <w:r w:rsidRPr="009F2376">
        <w:rPr>
          <w:rFonts w:ascii="Times New Roman" w:hAnsi="Times New Roman"/>
        </w:rPr>
        <w:t xml:space="preserve">Moreover, the tax law imputes taxable income to an employee to the extent of the cost of the term insurance element of the policy which is acquired by a retirement </w:t>
      </w:r>
      <w:proofErr w:type="gramStart"/>
      <w:r w:rsidRPr="009F2376">
        <w:rPr>
          <w:rFonts w:ascii="Times New Roman" w:hAnsi="Times New Roman"/>
        </w:rPr>
        <w:t>plan.n8  Although</w:t>
      </w:r>
      <w:proofErr w:type="gramEnd"/>
      <w:r w:rsidRPr="009F2376">
        <w:rPr>
          <w:rFonts w:ascii="Times New Roman" w:hAnsi="Times New Roman"/>
        </w:rPr>
        <w:t xml:space="preserve"> the amount imputed to the employee as gross income where the employee’s retirement plan acquires insurance on the employee’s life usually is less than the real cost of the insurance coverage, there is no absolute “free ride” for acquiring insurance through a retirement plan.</w:t>
      </w:r>
    </w:p>
    <w:p w:rsidR="006E0159" w:rsidRPr="009F2376" w:rsidRDefault="006E0159" w:rsidP="009B6A3A">
      <w:pPr>
        <w:pStyle w:val="ListParagraph"/>
        <w:spacing w:after="0" w:line="240" w:lineRule="auto"/>
        <w:ind w:left="1440"/>
        <w:rPr>
          <w:rFonts w:ascii="Times New Roman" w:hAnsi="Times New Roman"/>
        </w:rPr>
      </w:pPr>
    </w:p>
    <w:p w:rsidR="006E0159" w:rsidRPr="009F2376" w:rsidRDefault="006E0159" w:rsidP="009B6A3A">
      <w:pPr>
        <w:pStyle w:val="ListParagraph"/>
        <w:spacing w:after="0" w:line="240" w:lineRule="auto"/>
        <w:ind w:left="1440"/>
        <w:rPr>
          <w:rFonts w:ascii="Times New Roman" w:hAnsi="Times New Roman"/>
        </w:rPr>
      </w:pPr>
      <w:r w:rsidRPr="009F2376">
        <w:rPr>
          <w:rFonts w:ascii="Times New Roman" w:hAnsi="Times New Roman"/>
        </w:rPr>
        <w:t>However, some qualified plans can be structured so that more can be contributed, on a tax deductible basis, to provide, in addition to retirement benefits, a pre-retirement insurance coverage feature.  The value of the term insurance coverage provided under the plan will be imputed to the employee whose life is insured.  However, in some cases, it may be possible to receive a deduction (in the early years of funding for the insurance) in an amount greater than the amount imputed back to the employee.  There may be three reasons for that result.  First, the funding for the death benefit may be based on the higher “guaranteed” insurance rates; the value imputed as income will be lower.  Second, as a general rule, the amount imputed to the employee for the insurance (using before 2002 what is known as the “P.S. 58” table and now using Table 2001)n9 carried on his or her life is less than the rates actually charged by the insurance company.  Third, in some cases, it is possible to “accelerate” the funding over a shorter period of time than the period for which the insurance will be carried (until retirement).  In a “strict” sense, gross income does not disappear because the employee has imputed income for the coverage provided by the employer, the cost of which is income tax deductible to the employer.  However, the amount deductible by the employer may be greater than the employee includes in income and the time that the employer gets to deduct the contribution attributable to the insurance may be earlier than when the employee must include the entire amount in income.</w:t>
      </w:r>
    </w:p>
    <w:p w:rsidR="006E0159" w:rsidRPr="009F2376" w:rsidRDefault="006E0159" w:rsidP="009B6A3A">
      <w:pPr>
        <w:pStyle w:val="ListParagraph"/>
        <w:spacing w:after="0" w:line="240" w:lineRule="auto"/>
        <w:ind w:left="1440"/>
        <w:rPr>
          <w:rFonts w:ascii="Times New Roman" w:hAnsi="Times New Roman"/>
        </w:rPr>
      </w:pPr>
    </w:p>
    <w:p w:rsidR="006E0159" w:rsidRPr="009F2376" w:rsidRDefault="006E0159" w:rsidP="009B6A3A">
      <w:pPr>
        <w:pStyle w:val="ListParagraph"/>
        <w:spacing w:after="0" w:line="240" w:lineRule="auto"/>
        <w:ind w:left="1440"/>
        <w:rPr>
          <w:rFonts w:ascii="Times New Roman" w:hAnsi="Times New Roman"/>
        </w:rPr>
      </w:pPr>
      <w:r w:rsidRPr="009F2376">
        <w:rPr>
          <w:rFonts w:ascii="Times New Roman" w:hAnsi="Times New Roman"/>
        </w:rPr>
        <w:t>Insurance may be an appropriate investment for a retirement plan or it may not be.  In any case, it may not be more efficient to buy it through a retirement plan, as a general rule, than any other way.  However, having the plan acquire insurance appears attractive.  The reason goes back to the fundamental reason for resisting acquiring insurance in the first place: It is perceived that there is no benefit to the insured in having the insurance but only a benefit to those who survive the insured; because the insured cannot currently access the funds in the retirement plan (without significant income tax and penalties at least), the insured can fulfill his or her “moral” obligation to carry the life insurance by using retirement plan funds rather than expending assets which the insured could otherwise use for his or her own current benefit.</w:t>
      </w:r>
    </w:p>
    <w:p w:rsidR="006E0159" w:rsidRPr="009F2376" w:rsidRDefault="006E0159" w:rsidP="009B6A3A">
      <w:pPr>
        <w:pStyle w:val="ListParagraph"/>
        <w:spacing w:after="0" w:line="240" w:lineRule="auto"/>
        <w:ind w:left="1440"/>
        <w:rPr>
          <w:rFonts w:ascii="Times New Roman" w:hAnsi="Times New Roman"/>
        </w:rPr>
      </w:pPr>
    </w:p>
    <w:p w:rsidR="006E0159" w:rsidRPr="009F2376" w:rsidRDefault="006E0159" w:rsidP="003D3E3F">
      <w:pPr>
        <w:pStyle w:val="ListParagraph"/>
        <w:numPr>
          <w:ilvl w:val="0"/>
          <w:numId w:val="23"/>
        </w:numPr>
        <w:spacing w:after="0" w:line="240" w:lineRule="auto"/>
        <w:rPr>
          <w:rFonts w:ascii="Times New Roman" w:hAnsi="Times New Roman"/>
          <w:b/>
        </w:rPr>
      </w:pPr>
      <w:r w:rsidRPr="009F2376">
        <w:rPr>
          <w:rFonts w:ascii="Times New Roman" w:hAnsi="Times New Roman"/>
          <w:b/>
        </w:rPr>
        <w:t>Paying for Term Insurance With Pre-Tax income Which Is Never Taxed</w:t>
      </w:r>
    </w:p>
    <w:p w:rsidR="006E0159" w:rsidRPr="009F2376" w:rsidRDefault="006E0159" w:rsidP="003D3E3F">
      <w:pPr>
        <w:pStyle w:val="ListParagraph"/>
        <w:spacing w:after="0" w:line="240" w:lineRule="auto"/>
        <w:ind w:left="1440"/>
        <w:rPr>
          <w:rFonts w:ascii="Times New Roman" w:hAnsi="Times New Roman"/>
        </w:rPr>
      </w:pPr>
    </w:p>
    <w:p w:rsidR="006E0159" w:rsidRPr="009F2376" w:rsidRDefault="006E0159" w:rsidP="003D3E3F">
      <w:pPr>
        <w:pStyle w:val="ListParagraph"/>
        <w:spacing w:after="0" w:line="240" w:lineRule="auto"/>
        <w:ind w:left="1440"/>
        <w:rPr>
          <w:rFonts w:ascii="Times New Roman" w:hAnsi="Times New Roman"/>
        </w:rPr>
      </w:pPr>
      <w:r w:rsidRPr="009F2376">
        <w:rPr>
          <w:rFonts w:ascii="Times New Roman" w:hAnsi="Times New Roman"/>
        </w:rPr>
        <w:t xml:space="preserve">As mentioned above, the profit earned on the cash value component of a life insurance policy generally is not subject to income tax until the profit is withdrawn.  By using those </w:t>
      </w:r>
      <w:r w:rsidRPr="009F2376">
        <w:rPr>
          <w:rFonts w:ascii="Times New Roman" w:hAnsi="Times New Roman"/>
        </w:rPr>
        <w:lastRenderedPageBreak/>
        <w:t>earning to pay for the term cost of the insurance, it should be possible to pay for life insurance with income which will never be subject to tax.  That is as good, if not better, than making those premiums tax deductible.</w:t>
      </w:r>
    </w:p>
    <w:p w:rsidR="006E0159" w:rsidRPr="009F2376" w:rsidRDefault="006E0159" w:rsidP="003D3E3F">
      <w:pPr>
        <w:pStyle w:val="ListParagraph"/>
        <w:spacing w:after="0" w:line="240" w:lineRule="auto"/>
        <w:ind w:left="1440"/>
        <w:rPr>
          <w:rFonts w:ascii="Times New Roman" w:hAnsi="Times New Roman"/>
        </w:rPr>
      </w:pPr>
    </w:p>
    <w:p w:rsidR="006E0159" w:rsidRPr="009F2376" w:rsidRDefault="006E0159" w:rsidP="003D3E3F">
      <w:pPr>
        <w:pStyle w:val="ListParagraph"/>
        <w:spacing w:after="0" w:line="240" w:lineRule="auto"/>
        <w:ind w:left="1440"/>
        <w:rPr>
          <w:rFonts w:ascii="Times New Roman" w:hAnsi="Times New Roman"/>
        </w:rPr>
      </w:pPr>
      <w:r w:rsidRPr="009F2376">
        <w:rPr>
          <w:rFonts w:ascii="Times New Roman" w:hAnsi="Times New Roman"/>
        </w:rPr>
        <w:t>Perhaps, the best way to understand what occurs is to consider something that is not really true.  Suppose the IRS agreed that if a property owner invested in a savings account in the Big Bank, and directed that the interest in that account had to be used to pay for life insurance on the depositor’s life, the interest would never be taxed to anyone.  Probably, everyone would agree that just about every insured person would open an account at the Big Bank.  Because the interest would never be taxed, it would cut the cost of the insurance by the effective rate of taxation.  For example, if the insured deposited $100,000 and the Big Bank paid 5% or $5,000 a year in interest, but the bank used the funds to pay a $5,000 term premium on the depositor’s life, the real cost of that insurance would have now dropped to $3,000 if the insured were in an effective 40% income tax bracket.  The reason, of course, is that without the special arrangement made with the Internal Revenue Service the $5,000 would be taxed to the depositor and after the 40% income tax, the depositor would be left with only $3,000.  However, because the insured invested through the Big Bank, the insured got the full economic benefit of the entire pre-tax $5,000 of interest.  Effectively, the taxpayer can accomplish the same result with certain life insurance policies.</w:t>
      </w:r>
    </w:p>
    <w:p w:rsidR="006E0159" w:rsidRPr="009F2376" w:rsidRDefault="006E0159" w:rsidP="003D3E3F">
      <w:pPr>
        <w:pStyle w:val="ListParagraph"/>
        <w:spacing w:after="0" w:line="240" w:lineRule="auto"/>
        <w:ind w:left="1440"/>
        <w:rPr>
          <w:rFonts w:ascii="Times New Roman" w:hAnsi="Times New Roman"/>
        </w:rPr>
      </w:pPr>
    </w:p>
    <w:p w:rsidR="006E0159" w:rsidRPr="009F2376" w:rsidRDefault="006E0159" w:rsidP="003D3E3F">
      <w:pPr>
        <w:pStyle w:val="ListParagraph"/>
        <w:spacing w:after="0" w:line="240" w:lineRule="auto"/>
        <w:ind w:left="1440"/>
        <w:rPr>
          <w:rFonts w:ascii="Times New Roman" w:hAnsi="Times New Roman"/>
        </w:rPr>
      </w:pPr>
      <w:r w:rsidRPr="009F2376">
        <w:rPr>
          <w:rFonts w:ascii="Times New Roman" w:hAnsi="Times New Roman"/>
        </w:rPr>
        <w:t xml:space="preserve">Some policies (such as many universal policies) are structured so that if the term insurance element is not paid each year, the cash (or investment) value is charged with the cost of that premium.  The owner, in fact, can structure the cash value so that the earnings equal the amount of the term insurance.  That way, the earnings are charged with the cost of the term insurance.  However, the owner’s income tax basis in the policy will equal the full amount of premiums paid (including that part of premiums allocated to the cash value component of the policy).  That means that the owner can withdraw from the policy an amount equal to the owner’s basis (or total premiums paid), and no part of the income earned on that will ever be taxed to anyone.  </w:t>
      </w:r>
    </w:p>
    <w:p w:rsidR="006E0159" w:rsidRPr="009F2376" w:rsidRDefault="006E0159" w:rsidP="003D3E3F">
      <w:pPr>
        <w:pStyle w:val="ListParagraph"/>
        <w:spacing w:after="0" w:line="240" w:lineRule="auto"/>
        <w:ind w:left="1440"/>
        <w:rPr>
          <w:rFonts w:ascii="Times New Roman" w:hAnsi="Times New Roman"/>
        </w:rPr>
      </w:pPr>
    </w:p>
    <w:p w:rsidR="006E0159" w:rsidRPr="009F2376" w:rsidRDefault="006E0159" w:rsidP="003D3E3F">
      <w:pPr>
        <w:pStyle w:val="ListParagraph"/>
        <w:spacing w:after="0" w:line="240" w:lineRule="auto"/>
        <w:ind w:left="1440"/>
        <w:rPr>
          <w:rFonts w:ascii="Times New Roman" w:hAnsi="Times New Roman"/>
        </w:rPr>
      </w:pPr>
      <w:r w:rsidRPr="009F2376">
        <w:rPr>
          <w:rFonts w:ascii="Times New Roman" w:hAnsi="Times New Roman"/>
        </w:rPr>
        <w:t>See Chart 6 for an illustration.  In the illustration, a 46 year old insured has decided to keep a policy in effect for 20 years (e.g., until the insured becomes vested in a non-qualified retirement plan when he or she perceives the need for insurance will go down or disappear).  Based upon current estimates, the total premiums paid for the 20 years for the $2 million of term insurance coverage will be $183,547.  (The present value of those payments over 20 years is $79,362 using a 7.5% discount rate.)  It is assumed that the cash invested in the policy will earn 7.5% a year.  On that basis, an initial cash value of $108,356 is needed.  At 7.5% earnings a year, that amount will produce enough in income to pay the $183,547 over the 20-year term and have cash value, as it did in the beginning, of exactly $108,356.  At that time, the owner will be able to withdraw all cash from the policy (for example, by canceling it).  Because total premiums paid would be $108,356, the income tax basis would be $108,356 and the owner would have no gain (or loss) by withdrawing the $108,356.</w:t>
      </w:r>
    </w:p>
    <w:p w:rsidR="006E0159" w:rsidRPr="009F2376" w:rsidRDefault="006E0159" w:rsidP="003D3E3F">
      <w:pPr>
        <w:pStyle w:val="ListParagraph"/>
        <w:spacing w:after="0" w:line="240" w:lineRule="auto"/>
        <w:ind w:left="1440"/>
        <w:rPr>
          <w:rFonts w:ascii="Times New Roman" w:hAnsi="Times New Roman"/>
        </w:rPr>
      </w:pPr>
    </w:p>
    <w:p w:rsidR="006E0159" w:rsidRPr="009F2376" w:rsidRDefault="006E0159" w:rsidP="003D3E3F">
      <w:pPr>
        <w:pStyle w:val="ListParagraph"/>
        <w:spacing w:after="0" w:line="240" w:lineRule="auto"/>
        <w:ind w:left="1440"/>
        <w:rPr>
          <w:rFonts w:ascii="Times New Roman" w:hAnsi="Times New Roman"/>
        </w:rPr>
      </w:pPr>
      <w:r w:rsidRPr="009F2376">
        <w:rPr>
          <w:rFonts w:ascii="Times New Roman" w:hAnsi="Times New Roman"/>
        </w:rPr>
        <w:t xml:space="preserve">Of course, what is expected to happen during the 20 years is that the income earned by the cash value in the policy will be used to pay the term insurance costs.  But that $183,547 of income earned will never be taxed.  If it had been taxed, for example at a 50% effective income tax bracket, the owner would have experienced only $91,773 in net earnings and, as a consequence, the owner would have only been able to pay for 50% as much insurance.  However, in the illustration, the owner was able to arrange for the </w:t>
      </w:r>
      <w:r w:rsidRPr="009F2376">
        <w:rPr>
          <w:rFonts w:ascii="Times New Roman" w:hAnsi="Times New Roman"/>
        </w:rPr>
        <w:lastRenderedPageBreak/>
        <w:t>payment of the term insurance component of the policy (which pays for the actual death benefit) using income which will never be taxed.  Overall, that strategy will save the owner about $90,000.</w:t>
      </w:r>
    </w:p>
    <w:p w:rsidR="006E0159" w:rsidRPr="009F2376" w:rsidRDefault="006E0159" w:rsidP="003D3E3F">
      <w:pPr>
        <w:pStyle w:val="ListParagraph"/>
        <w:spacing w:after="0" w:line="240" w:lineRule="auto"/>
        <w:ind w:left="1440"/>
        <w:rPr>
          <w:rFonts w:ascii="Times New Roman" w:hAnsi="Times New Roman"/>
        </w:rPr>
      </w:pPr>
    </w:p>
    <w:p w:rsidR="006E0159" w:rsidRPr="009F2376" w:rsidRDefault="006E0159" w:rsidP="003D3E3F">
      <w:pPr>
        <w:pStyle w:val="ListParagraph"/>
        <w:spacing w:after="0" w:line="240" w:lineRule="auto"/>
        <w:ind w:left="1440"/>
        <w:rPr>
          <w:rFonts w:ascii="Times New Roman" w:hAnsi="Times New Roman"/>
        </w:rPr>
      </w:pPr>
      <w:r w:rsidRPr="009F2376">
        <w:rPr>
          <w:rFonts w:ascii="Times New Roman" w:hAnsi="Times New Roman"/>
        </w:rPr>
        <w:t>Of course, if the cash account earns less than 7.5%, part or all of the $108,356 paid in premium to be allocated to the cash or investment component will not be there at the end of 20 years because part or all of it (together with the earnings it produces) will be used to pay for the term insurance cost.  In fact, the cash value might be entirely eroded.  Still, the owner will have never been taxed on the income of the policy which was earned to pay for the term insurance.  If the cash component earns more than 7.5%, more will be in the policy than $108,356 at the end of 20 years so that if it is then canceled the owner would have some taxable income (to the extent the owner gets back more than the $108,356 in premium paid).  Furthermore, if the term premiums turn out to be more (or less) than the insurance carrier has projected, there will be less (or more) in cash value at the end of the 20-year term.  Certainly, the insured may have a need for life insurance once reaching 66 years of age.  The policy can be structured so the owner can continue coverage from then on (regardless of health).  If the owner does choose to continue the insurance, the premium payments can again be structured in a tax favorable way (unless the law changes so as to prevent that).</w:t>
      </w:r>
    </w:p>
    <w:p w:rsidR="006E0159" w:rsidRPr="009F2376" w:rsidRDefault="006E0159" w:rsidP="003D3E3F">
      <w:pPr>
        <w:pStyle w:val="ListParagraph"/>
        <w:spacing w:after="0" w:line="240" w:lineRule="auto"/>
        <w:ind w:left="1440"/>
        <w:rPr>
          <w:rFonts w:ascii="Times New Roman" w:hAnsi="Times New Roman"/>
        </w:rPr>
      </w:pPr>
    </w:p>
    <w:p w:rsidR="006E0159" w:rsidRDefault="006E0159" w:rsidP="000A44C8">
      <w:pPr>
        <w:pStyle w:val="ListParagraph"/>
        <w:numPr>
          <w:ilvl w:val="0"/>
          <w:numId w:val="23"/>
        </w:numPr>
        <w:spacing w:after="0" w:line="240" w:lineRule="auto"/>
        <w:rPr>
          <w:rFonts w:ascii="Times New Roman" w:hAnsi="Times New Roman"/>
          <w:b/>
        </w:rPr>
      </w:pPr>
      <w:r w:rsidRPr="009F2376">
        <w:rPr>
          <w:rFonts w:ascii="Times New Roman" w:hAnsi="Times New Roman"/>
          <w:b/>
        </w:rPr>
        <w:t>Putting It All Together.  Family Split Dollar Insurance</w:t>
      </w:r>
    </w:p>
    <w:p w:rsidR="006E0159" w:rsidRPr="009F2376" w:rsidRDefault="006E0159" w:rsidP="004936FF">
      <w:pPr>
        <w:pStyle w:val="ListParagraph"/>
        <w:spacing w:after="0" w:line="240" w:lineRule="auto"/>
        <w:ind w:left="1440"/>
        <w:rPr>
          <w:rFonts w:ascii="Times New Roman" w:hAnsi="Times New Roman"/>
          <w:b/>
        </w:rPr>
      </w:pPr>
    </w:p>
    <w:p w:rsidR="006E0159" w:rsidRPr="009F2376" w:rsidRDefault="006E0159" w:rsidP="000A44C8">
      <w:pPr>
        <w:pStyle w:val="ListParagraph"/>
        <w:numPr>
          <w:ilvl w:val="0"/>
          <w:numId w:val="27"/>
        </w:numPr>
        <w:spacing w:after="0" w:line="240" w:lineRule="auto"/>
        <w:rPr>
          <w:rFonts w:ascii="Times New Roman" w:hAnsi="Times New Roman"/>
          <w:b/>
        </w:rPr>
      </w:pPr>
      <w:r w:rsidRPr="009F2376">
        <w:rPr>
          <w:rFonts w:ascii="Times New Roman" w:hAnsi="Times New Roman"/>
          <w:b/>
        </w:rPr>
        <w:t xml:space="preserve"> Introduction to Split Dollar</w:t>
      </w:r>
    </w:p>
    <w:p w:rsidR="006E0159" w:rsidRPr="009F2376" w:rsidRDefault="006E0159" w:rsidP="000A44C8">
      <w:pPr>
        <w:pStyle w:val="NormalWeb"/>
        <w:ind w:left="1800"/>
        <w:rPr>
          <w:sz w:val="22"/>
          <w:szCs w:val="22"/>
        </w:rPr>
      </w:pPr>
      <w:r w:rsidRPr="009F2376">
        <w:rPr>
          <w:sz w:val="22"/>
          <w:szCs w:val="22"/>
        </w:rPr>
        <w:t xml:space="preserve">A split dollar insurance arrangement is not a type of policy. Rather, it is a way in which the proceeds paid on the death of the insured are divided or split. In addition, in some cases, the premiums paid on the policy are also divided or split. Apparently, the first split dollar programs were between an employer (typically, a corporation) and a key employee, under which the employer would pay the premiums on the policy insuring the life of the employee who was given, under the arrangement, the right to name the beneficiary of the proceeds to the extent they exceed the greater of the premiums the employer paid or the policy’s cash value at death. </w:t>
      </w:r>
    </w:p>
    <w:p w:rsidR="006E0159" w:rsidRPr="009F2376" w:rsidRDefault="006E0159" w:rsidP="000A44C8">
      <w:pPr>
        <w:pStyle w:val="NormalWeb"/>
        <w:ind w:left="1800"/>
        <w:rPr>
          <w:sz w:val="22"/>
          <w:szCs w:val="22"/>
        </w:rPr>
      </w:pPr>
      <w:r w:rsidRPr="009F2376">
        <w:rPr>
          <w:sz w:val="22"/>
          <w:szCs w:val="22"/>
        </w:rPr>
        <w:t xml:space="preserve">Initially, the IRS concluded that such a split dollar arrangement represented an interest free loan from the employer to the employee. See Rev. Rul. 55-713, 1955-2 CB 23. Later, the IRS concluded that the arrangement did not represent a loan but represented a circumstance where the employer was conferring an “economic benefit” equal to that part of the insurance coverage that would be paid to the employee’s named beneficiary if the employee died that year (that is, the proceeds reduced by the greater of cash value or premiums the employer had paid). Rev. Rul. 64-328, 1964-2 CB 11, amplified by Rev. Rul. 78-420, 1978-2 CB 67, modified by Notice 2001-10, 2001-1 CB 459, modified by Notice 2002-8, 2002-1 CB 398, </w:t>
      </w:r>
      <w:proofErr w:type="spellStart"/>
      <w:r w:rsidRPr="009F2376">
        <w:rPr>
          <w:sz w:val="22"/>
          <w:szCs w:val="22"/>
        </w:rPr>
        <w:t>obsoleted</w:t>
      </w:r>
      <w:proofErr w:type="spellEnd"/>
      <w:r w:rsidRPr="009F2376">
        <w:rPr>
          <w:sz w:val="22"/>
          <w:szCs w:val="22"/>
        </w:rPr>
        <w:t xml:space="preserve"> by Rev. Rul. 2003-105, 2003-1 CB 2003-2 CB 696. This type of split dollar became known as “economic benefit” split dollar.</w:t>
      </w:r>
    </w:p>
    <w:p w:rsidR="006E0159" w:rsidRPr="009F2376" w:rsidRDefault="006E0159" w:rsidP="000A44C8">
      <w:pPr>
        <w:pStyle w:val="NormalWeb"/>
        <w:ind w:left="1800"/>
        <w:rPr>
          <w:sz w:val="22"/>
          <w:szCs w:val="22"/>
        </w:rPr>
      </w:pPr>
      <w:r w:rsidRPr="009F2376">
        <w:rPr>
          <w:sz w:val="22"/>
          <w:szCs w:val="22"/>
        </w:rPr>
        <w:t xml:space="preserve">From 1964 to 2003, when the Treasury Department issued final regulations dealing with the tax effects of certain split dollar insurance arrangements, the IRS issued several additional revenue rulings, private letter rulings, technical advice memoranda and notices about split dollar plans. These included arrangements between corporations and shareholders, partnerships and partners and family members or </w:t>
      </w:r>
      <w:r w:rsidRPr="009F2376">
        <w:rPr>
          <w:sz w:val="22"/>
          <w:szCs w:val="22"/>
        </w:rPr>
        <w:lastRenderedPageBreak/>
        <w:t xml:space="preserve">entities on their behalf (see PLR 9636933 (not precedent)), all essentially following the principles of the economic benefit regime of Rev. Rul. 64-328. </w:t>
      </w:r>
    </w:p>
    <w:p w:rsidR="006E0159" w:rsidRPr="009F2376" w:rsidRDefault="006E0159" w:rsidP="003868F2">
      <w:pPr>
        <w:pStyle w:val="NormalWeb"/>
        <w:ind w:left="1800"/>
        <w:rPr>
          <w:sz w:val="22"/>
          <w:szCs w:val="22"/>
        </w:rPr>
      </w:pPr>
      <w:r w:rsidRPr="009F2376">
        <w:rPr>
          <w:sz w:val="22"/>
          <w:szCs w:val="22"/>
        </w:rPr>
        <w:t xml:space="preserve">In some ways, the final split dollar regulations adopt the two original positions of the IRS with respect to split dollar: a loan regime and an economic benefit regime. In some places in this article, the person who is entitled to a return of cash value or premiums paid is sometimes called the “cash value sponsor” (because that person essentially is providing the premium that is used to pay for the cash value component of the policy) and the party entitled to control the death benefit above the amount to which the cash value sponsor is entitled as the “term holder.” </w:t>
      </w:r>
    </w:p>
    <w:p w:rsidR="006E0159" w:rsidRPr="009F2376" w:rsidRDefault="006E0159" w:rsidP="003868F2">
      <w:pPr>
        <w:pStyle w:val="NormalWeb"/>
        <w:numPr>
          <w:ilvl w:val="0"/>
          <w:numId w:val="27"/>
        </w:numPr>
        <w:rPr>
          <w:b/>
          <w:sz w:val="22"/>
          <w:szCs w:val="22"/>
        </w:rPr>
      </w:pPr>
      <w:r w:rsidRPr="009F2376">
        <w:rPr>
          <w:b/>
          <w:sz w:val="22"/>
          <w:szCs w:val="22"/>
        </w:rPr>
        <w:t xml:space="preserve">Overview of the Split Dollar Regulations </w:t>
      </w:r>
    </w:p>
    <w:p w:rsidR="006E0159" w:rsidRPr="009F2376" w:rsidRDefault="006E0159" w:rsidP="003868F2">
      <w:pPr>
        <w:pStyle w:val="NormalWeb"/>
        <w:ind w:left="1800"/>
        <w:rPr>
          <w:sz w:val="22"/>
          <w:szCs w:val="22"/>
        </w:rPr>
      </w:pPr>
      <w:r w:rsidRPr="009F2376">
        <w:rPr>
          <w:sz w:val="22"/>
          <w:szCs w:val="22"/>
        </w:rPr>
        <w:t>Some legal principles about split dollar arrangements appear relatively certain. First, the split dollar regulations set out two detailed mutually exclusive regimes: (1) economic benefit (traditional) split dollar, similar to what is described in Rev. Rul. 64-328 and its progeny (including the first family split dollar ruling, PLR 9636033, which under section 6110(k</w:t>
      </w:r>
      <w:proofErr w:type="gramStart"/>
      <w:r w:rsidRPr="009F2376">
        <w:rPr>
          <w:sz w:val="22"/>
          <w:szCs w:val="22"/>
        </w:rPr>
        <w:t>)(</w:t>
      </w:r>
      <w:proofErr w:type="gramEnd"/>
      <w:r w:rsidRPr="009F2376">
        <w:rPr>
          <w:sz w:val="22"/>
          <w:szCs w:val="22"/>
        </w:rPr>
        <w:t xml:space="preserve">3), cannot be cited or used as precedent) and (2) split dollar loan regime, essentially governed by the principles of section 7872 of the Code. If a taxpayer follows one of the regimes “to the letter,” it seems that the taxpayer should be able rely on getting the tax treatment set forth in the regulations. </w:t>
      </w:r>
    </w:p>
    <w:p w:rsidR="006E0159" w:rsidRPr="009F2376" w:rsidRDefault="006E0159" w:rsidP="008A7343">
      <w:pPr>
        <w:pStyle w:val="NormalWeb"/>
        <w:ind w:left="1800"/>
        <w:rPr>
          <w:sz w:val="22"/>
          <w:szCs w:val="22"/>
        </w:rPr>
      </w:pPr>
      <w:r w:rsidRPr="009F2376">
        <w:rPr>
          <w:sz w:val="22"/>
          <w:szCs w:val="22"/>
        </w:rPr>
        <w:t xml:space="preserve">For example, if the taxpayer enters a family split dollar arrangement with a family trust under the economic benefit regime (the tax effects of which are set forth in Treas. Reg. § 1.61-22(d) through (g)) under which the taxpayer will get back when the insured dies the greater of premiums the taxpayer has paid or the policy’s cash value at that time, then each year it seems the taxpayer should be deemed to have made a gift of the one year cost of the term insurance component that would be paid if the insured died that year (that is, a gift equal to the Table 2001 rate or whatever other rate may apply to measure the value of that term insurance component) or no gift should be deemed made if the family trust is required to and does reimburses the taxpayer in that amount each year. As mentioned below, that seems not only to be expressly provided for under the split dollar regulations but is expressed stated essentially as an example in the preamble to the proposed split dollar regulations (which were not changed in that regard in the final regulations). </w:t>
      </w:r>
    </w:p>
    <w:p w:rsidR="006E0159" w:rsidRPr="009F2376" w:rsidRDefault="006E0159" w:rsidP="008A7343">
      <w:pPr>
        <w:pStyle w:val="NormalWeb"/>
        <w:numPr>
          <w:ilvl w:val="0"/>
          <w:numId w:val="27"/>
        </w:numPr>
        <w:rPr>
          <w:b/>
          <w:sz w:val="22"/>
          <w:szCs w:val="22"/>
        </w:rPr>
      </w:pPr>
      <w:r w:rsidRPr="009F2376">
        <w:rPr>
          <w:b/>
          <w:sz w:val="22"/>
          <w:szCs w:val="22"/>
        </w:rPr>
        <w:t xml:space="preserve">Economic Benefit v. Loan Regime </w:t>
      </w:r>
    </w:p>
    <w:p w:rsidR="006E0159" w:rsidRPr="009F2376" w:rsidRDefault="006E0159" w:rsidP="008A7343">
      <w:pPr>
        <w:pStyle w:val="NormalWeb"/>
        <w:ind w:left="1800"/>
        <w:rPr>
          <w:sz w:val="22"/>
          <w:szCs w:val="22"/>
        </w:rPr>
      </w:pPr>
      <w:r w:rsidRPr="009F2376">
        <w:rPr>
          <w:sz w:val="22"/>
          <w:szCs w:val="22"/>
        </w:rPr>
        <w:t xml:space="preserve">The regulations seem to provide that a split dollar arrangement will be treated as a split dollar loan under Treas. Reg. § 1.7872-15 unless the regulations provide for it to be treated as an economic benefit regime arrangement under Treas. Reg. § 1.61-22. In fact, Treas. Reg. § 1.61-22(b)(3) sets forth rules to determine whether the split dollar arrangement rules of that section (which set forth an economic benefit regime similar to that set forth in Rev. Rul. 64-328) or the loan regime (under Treas. Reg. § 1.7872-15) applies to the split-dollar arrangement. The basic rules under Treas. Reg. § 1.61-22(d) through (g) (that is, the economic benefit regime) do not apply to any split dollar arrangement but rather the split dollar loan regime as defined in Treas. Reg. § 1.7872-15(b)(1) applies unless (in addition to an employment or service situations which the regulations specify will, in general, fall under the economic benefit regime) “[t]he arrangement is entered into between a donor and a </w:t>
      </w:r>
      <w:proofErr w:type="spellStart"/>
      <w:r w:rsidRPr="009F2376">
        <w:rPr>
          <w:sz w:val="22"/>
          <w:szCs w:val="22"/>
        </w:rPr>
        <w:t>donee</w:t>
      </w:r>
      <w:proofErr w:type="spellEnd"/>
      <w:r w:rsidRPr="009F2376">
        <w:rPr>
          <w:sz w:val="22"/>
          <w:szCs w:val="22"/>
        </w:rPr>
        <w:t xml:space="preserve"> (for </w:t>
      </w:r>
      <w:r w:rsidRPr="009F2376">
        <w:rPr>
          <w:sz w:val="22"/>
          <w:szCs w:val="22"/>
        </w:rPr>
        <w:lastRenderedPageBreak/>
        <w:t xml:space="preserve">example, a life insurance trust) and the donor is the owner of the life insurance contract (or is treated as the owner of the contract under paragraph (c)(1)(ii)(A)(2) of this section).” Under Treas. Reg. § 1.61-22(c)(1)(ii)(A)(2), even if the </w:t>
      </w:r>
      <w:proofErr w:type="spellStart"/>
      <w:r w:rsidRPr="009F2376">
        <w:rPr>
          <w:sz w:val="22"/>
          <w:szCs w:val="22"/>
        </w:rPr>
        <w:t>donee</w:t>
      </w:r>
      <w:proofErr w:type="spellEnd"/>
      <w:r w:rsidRPr="009F2376">
        <w:rPr>
          <w:sz w:val="22"/>
          <w:szCs w:val="22"/>
        </w:rPr>
        <w:t xml:space="preserve"> (such as a life insurance trust) actually owns the life insurance policy, the donor is treated as the owner of it under a split-dollar life insurance arrangement that is entered into between a donor and a </w:t>
      </w:r>
      <w:proofErr w:type="spellStart"/>
      <w:r w:rsidRPr="009F2376">
        <w:rPr>
          <w:sz w:val="22"/>
          <w:szCs w:val="22"/>
        </w:rPr>
        <w:t>donee</w:t>
      </w:r>
      <w:proofErr w:type="spellEnd"/>
      <w:r w:rsidRPr="009F2376">
        <w:rPr>
          <w:sz w:val="22"/>
          <w:szCs w:val="22"/>
        </w:rPr>
        <w:t xml:space="preserve"> (for example, a life insurance trust) if, at all times, the only economic benefit that will be provided under the arrangement is current life insurance protection as described in Treas. Reg. § 1.61-22(d)(3)—that is, the term component essentially as set forth in Rev. Rul. 64-328. In other words, if the life insurance trust owns the policy, the plan will be an economic benefit one and not a loan regime. </w:t>
      </w:r>
    </w:p>
    <w:p w:rsidR="006E0159" w:rsidRPr="009F2376" w:rsidRDefault="006E0159" w:rsidP="008A7343">
      <w:pPr>
        <w:pStyle w:val="NormalWeb"/>
        <w:ind w:left="1800"/>
        <w:rPr>
          <w:sz w:val="22"/>
          <w:szCs w:val="22"/>
        </w:rPr>
      </w:pPr>
      <w:r w:rsidRPr="009F2376">
        <w:rPr>
          <w:sz w:val="22"/>
          <w:szCs w:val="22"/>
        </w:rPr>
        <w:t xml:space="preserve">Hence, with respect to a family split dollar arrangement, one can either “opt” into the economic benefit regime by limiting the trust to term insurance protection only or can “opt” into loan regime by having the family trust own the policy and receive something more than just term insurance protection (for example, even apparently a de </w:t>
      </w:r>
      <w:proofErr w:type="spellStart"/>
      <w:r w:rsidRPr="009F2376">
        <w:rPr>
          <w:sz w:val="22"/>
          <w:szCs w:val="22"/>
        </w:rPr>
        <w:t>minimus</w:t>
      </w:r>
      <w:proofErr w:type="spellEnd"/>
      <w:r w:rsidRPr="009F2376">
        <w:rPr>
          <w:sz w:val="22"/>
          <w:szCs w:val="22"/>
        </w:rPr>
        <w:t xml:space="preserve"> amount of cash value it does not pay for). As mentioned above, if the trust is limited to term insurance protection only, then the cash value sponsor is treated as the owner even if the trust in fact owns the policy, and that will make the arrangement an economic benefit one under Treas. Reg. § 1.61-22(b)(3) and Treas. Reg. § 1.61-22(c)(1)(ii)(A)(2). </w:t>
      </w:r>
    </w:p>
    <w:p w:rsidR="006E0159" w:rsidRPr="009F2376" w:rsidRDefault="006E0159" w:rsidP="00AA4343">
      <w:pPr>
        <w:pStyle w:val="NormalWeb"/>
        <w:ind w:left="1800"/>
        <w:rPr>
          <w:sz w:val="22"/>
          <w:szCs w:val="22"/>
        </w:rPr>
      </w:pPr>
      <w:r w:rsidRPr="009F2376">
        <w:rPr>
          <w:sz w:val="22"/>
          <w:szCs w:val="22"/>
        </w:rPr>
        <w:t>It may be appropriate to mention that the terms “donor” and “</w:t>
      </w:r>
      <w:proofErr w:type="spellStart"/>
      <w:r w:rsidRPr="009F2376">
        <w:rPr>
          <w:sz w:val="22"/>
          <w:szCs w:val="22"/>
        </w:rPr>
        <w:t>donee</w:t>
      </w:r>
      <w:proofErr w:type="spellEnd"/>
      <w:r w:rsidRPr="009F2376">
        <w:rPr>
          <w:sz w:val="22"/>
          <w:szCs w:val="22"/>
        </w:rPr>
        <w:t>” are not defined in the split dollar regulations. As indicated above, it seems that, where one individual creates a trust with which the individual enters the split dollar arrangement under which the individual is entitled to receive the greater of premiums he or she pays and the trust receives any balance of the proceeds, the individual is the “donor” and the trust is the “</w:t>
      </w:r>
      <w:proofErr w:type="spellStart"/>
      <w:r w:rsidRPr="009F2376">
        <w:rPr>
          <w:sz w:val="22"/>
          <w:szCs w:val="22"/>
        </w:rPr>
        <w:t>donee</w:t>
      </w:r>
      <w:proofErr w:type="spellEnd"/>
      <w:r w:rsidRPr="009F2376">
        <w:rPr>
          <w:sz w:val="22"/>
          <w:szCs w:val="22"/>
        </w:rPr>
        <w:t>.” Although not expressly stated, it seems that such an individual is the “donor” and the trust is the “</w:t>
      </w:r>
      <w:proofErr w:type="spellStart"/>
      <w:r w:rsidRPr="009F2376">
        <w:rPr>
          <w:sz w:val="22"/>
          <w:szCs w:val="22"/>
        </w:rPr>
        <w:t>donee</w:t>
      </w:r>
      <w:proofErr w:type="spellEnd"/>
      <w:r w:rsidRPr="009F2376">
        <w:rPr>
          <w:sz w:val="22"/>
          <w:szCs w:val="22"/>
        </w:rPr>
        <w:t xml:space="preserve">” even if the trust is required to and does pay the tax value each year of the economic benefit it annually receives under the arrangement. </w:t>
      </w:r>
    </w:p>
    <w:p w:rsidR="006E0159" w:rsidRPr="009F2376" w:rsidRDefault="006E0159" w:rsidP="00AA4343">
      <w:pPr>
        <w:pStyle w:val="NormalWeb"/>
        <w:numPr>
          <w:ilvl w:val="0"/>
          <w:numId w:val="27"/>
        </w:numPr>
        <w:rPr>
          <w:b/>
          <w:sz w:val="22"/>
          <w:szCs w:val="22"/>
        </w:rPr>
      </w:pPr>
      <w:r w:rsidRPr="009F2376">
        <w:rPr>
          <w:b/>
          <w:sz w:val="22"/>
          <w:szCs w:val="22"/>
        </w:rPr>
        <w:t xml:space="preserve">Some Tax Effects of the Two Regimes </w:t>
      </w:r>
    </w:p>
    <w:p w:rsidR="006E0159" w:rsidRPr="009F2376" w:rsidRDefault="006E0159" w:rsidP="000B57CD">
      <w:pPr>
        <w:pStyle w:val="NormalWeb"/>
        <w:ind w:left="1800"/>
        <w:rPr>
          <w:sz w:val="22"/>
          <w:szCs w:val="22"/>
        </w:rPr>
      </w:pPr>
      <w:r w:rsidRPr="009F2376">
        <w:rPr>
          <w:sz w:val="22"/>
          <w:szCs w:val="22"/>
        </w:rPr>
        <w:t xml:space="preserve">If the family trust in a family split dollar arrangement does reimburse the taxpayer for the one year term cost of the insurance (or apparently if it is paid to the insurance company), then the taxpayer (that is, the cash value sponsor) would have gross income equal to the amount of that one year term cost. But if the family trust is a grantor trust with respect to the taxpayer, the taxpayer should have no income. See Rev. Rul. 85-13, 1985-1 CB 184. Also, if the term holder under the split dollar plan (e.g., the family trust) does not pay for the one year term cost, the cash value sponsor is treated as making a gift each year to the term insurance holder. It is also possible, as discussed below, that the donor would be treated as making a gift to the </w:t>
      </w:r>
      <w:proofErr w:type="spellStart"/>
      <w:r w:rsidRPr="009F2376">
        <w:rPr>
          <w:sz w:val="22"/>
          <w:szCs w:val="22"/>
        </w:rPr>
        <w:t>donee</w:t>
      </w:r>
      <w:proofErr w:type="spellEnd"/>
      <w:r w:rsidRPr="009F2376">
        <w:rPr>
          <w:sz w:val="22"/>
          <w:szCs w:val="22"/>
        </w:rPr>
        <w:t xml:space="preserve"> at the time of the entry into the split dollar arrangement if the donor cannot unilaterally terminate the arrangement and is required to pay all premiums and the </w:t>
      </w:r>
      <w:proofErr w:type="spellStart"/>
      <w:r w:rsidRPr="009F2376">
        <w:rPr>
          <w:sz w:val="22"/>
          <w:szCs w:val="22"/>
        </w:rPr>
        <w:t>donee</w:t>
      </w:r>
      <w:proofErr w:type="spellEnd"/>
      <w:r w:rsidRPr="009F2376">
        <w:rPr>
          <w:sz w:val="22"/>
          <w:szCs w:val="22"/>
        </w:rPr>
        <w:t xml:space="preserve"> is not required to pay the donor annually an amount equal to the tax value of each year’s economic benefit (that is, the value of the right to receive each year the proceeds payable under the policy above the greater of cash value or premiums paid, which would be paid to the donor). </w:t>
      </w:r>
    </w:p>
    <w:p w:rsidR="006E0159" w:rsidRPr="009F2376" w:rsidRDefault="006E0159" w:rsidP="00CC53E0">
      <w:pPr>
        <w:pStyle w:val="NormalWeb"/>
        <w:numPr>
          <w:ilvl w:val="0"/>
          <w:numId w:val="27"/>
        </w:numPr>
        <w:rPr>
          <w:b/>
          <w:sz w:val="22"/>
          <w:szCs w:val="22"/>
        </w:rPr>
      </w:pPr>
      <w:r w:rsidRPr="009F2376">
        <w:rPr>
          <w:b/>
          <w:sz w:val="22"/>
          <w:szCs w:val="22"/>
        </w:rPr>
        <w:lastRenderedPageBreak/>
        <w:t xml:space="preserve">Economic Benefit Conferred </w:t>
      </w:r>
    </w:p>
    <w:p w:rsidR="006E0159" w:rsidRPr="009F2376" w:rsidRDefault="006E0159" w:rsidP="00CC53E0">
      <w:pPr>
        <w:pStyle w:val="NormalWeb"/>
        <w:ind w:left="1800"/>
        <w:rPr>
          <w:sz w:val="22"/>
          <w:szCs w:val="22"/>
        </w:rPr>
      </w:pPr>
      <w:r w:rsidRPr="009F2376">
        <w:rPr>
          <w:sz w:val="22"/>
          <w:szCs w:val="22"/>
        </w:rPr>
        <w:t>Treas. Reg. § 1.61-22(d) sets forth the rules relating to the benefits that are deemed conferred in an economic benefit regime (as opposed to the loan regime). It appears that the regulations assume that the insurance protection conferred is conferred annually. Treas. Reg. § 1.61-22(d)(2) provides, in part, “The value of the economic benefits provided to a non-owner for a taxable year under the arrangement equals -- (</w:t>
      </w:r>
      <w:proofErr w:type="spellStart"/>
      <w:r w:rsidRPr="009F2376">
        <w:rPr>
          <w:sz w:val="22"/>
          <w:szCs w:val="22"/>
        </w:rPr>
        <w:t>i</w:t>
      </w:r>
      <w:proofErr w:type="spellEnd"/>
      <w:r w:rsidRPr="009F2376">
        <w:rPr>
          <w:sz w:val="22"/>
          <w:szCs w:val="22"/>
        </w:rPr>
        <w:t>) The cost of current life insurance protection provided to the non-owner as determined under paragraph (d)(3) of this section.” Treas. Reg. § 1.61-22(d</w:t>
      </w:r>
      <w:proofErr w:type="gramStart"/>
      <w:r w:rsidRPr="009F2376">
        <w:rPr>
          <w:sz w:val="22"/>
          <w:szCs w:val="22"/>
        </w:rPr>
        <w:t>)(</w:t>
      </w:r>
      <w:proofErr w:type="gramEnd"/>
      <w:r w:rsidRPr="009F2376">
        <w:rPr>
          <w:sz w:val="22"/>
          <w:szCs w:val="22"/>
        </w:rPr>
        <w:t>3) provides, in part, “Current life insurance protection (</w:t>
      </w:r>
      <w:proofErr w:type="spellStart"/>
      <w:r w:rsidRPr="009F2376">
        <w:rPr>
          <w:sz w:val="22"/>
          <w:szCs w:val="22"/>
        </w:rPr>
        <w:t>i</w:t>
      </w:r>
      <w:proofErr w:type="spellEnd"/>
      <w:r w:rsidRPr="009F2376">
        <w:rPr>
          <w:sz w:val="22"/>
          <w:szCs w:val="22"/>
        </w:rPr>
        <w:t xml:space="preserve">) Amount of current life insurance protection. In the case of a split-dollar life insurance arrangement described in paragraph (d)(1) of this section, the amount of the current life insurance protection provided to the non-owner for a taxable year… equals the excess of the death benefit of the life insurance contract…over the total amount payable to the owner…under the split-dollar life insurance arrangement, less the portion of the policy cash value actually taken into account under paragraph (d)(1) of this section or paid for by the non-owner under paragraph (d)(1) of this section for the current taxable year or any prior taxable year.” (Emphasis added.) </w:t>
      </w:r>
    </w:p>
    <w:p w:rsidR="006E0159" w:rsidRPr="009F2376" w:rsidRDefault="006E0159" w:rsidP="00A450CA">
      <w:pPr>
        <w:pStyle w:val="NormalWeb"/>
        <w:ind w:left="1800"/>
        <w:rPr>
          <w:sz w:val="22"/>
          <w:szCs w:val="22"/>
        </w:rPr>
      </w:pPr>
      <w:r w:rsidRPr="009F2376">
        <w:rPr>
          <w:sz w:val="22"/>
          <w:szCs w:val="22"/>
        </w:rPr>
        <w:t xml:space="preserve">Hence, it is arguable that, even if the cash value sponsor cannot unilaterally terminate the arrangement and receive the cash value at any time upon demand before the death of the insured, that party is treated under the regulations as annually conferring a benefit equal to the value of the insurance protection the term holder controls rather than conferring at the inception of entering the split dollar arrangement a benefit equal to the present value of insurance coverage until the insured dies. That would be consistent with certain tax principles. Cf., e.g., Rev. Rul. 60-31, 1960-1 CB 174, under which a taxpayer could report the income he earned over time because his employment contract provided for it to be paid rather than having to report it all when he earned it. On the other hand, under normal gift tax principles, a gift is made when a benefit is conferred not as it is received. </w:t>
      </w:r>
      <w:proofErr w:type="gramStart"/>
      <w:r w:rsidRPr="009F2376">
        <w:rPr>
          <w:sz w:val="22"/>
          <w:szCs w:val="22"/>
        </w:rPr>
        <w:t>See, e.g., Commissioner v. Copley’s Estate, 194 F.2d 364 (7th Cir. 1952).</w:t>
      </w:r>
      <w:proofErr w:type="gramEnd"/>
      <w:r w:rsidRPr="009F2376">
        <w:rPr>
          <w:sz w:val="22"/>
          <w:szCs w:val="22"/>
        </w:rPr>
        <w:t xml:space="preserve"> Despite the fact that certain private letter rulings (which under section 6110(k)(3) cannot be cited or used as precedent except in limited circumstances for avoiding certain penalties)</w:t>
      </w:r>
      <w:r w:rsidRPr="009F2376">
        <w:rPr>
          <w:rStyle w:val="FootnoteReference"/>
          <w:sz w:val="22"/>
          <w:szCs w:val="22"/>
        </w:rPr>
        <w:footnoteReference w:id="7"/>
      </w:r>
      <w:r w:rsidRPr="009F2376">
        <w:rPr>
          <w:sz w:val="22"/>
          <w:szCs w:val="22"/>
        </w:rPr>
        <w:t xml:space="preserve">, there is at least some risk that the cash value sponsor may be deemed to be making a gift equal to the entire value of all future years’ of death benefit coverage in excess of premiums the donor has paid or cash value if the cash value sponsor cannot unilateral terminate the arrangement and if the term holder is not required to pay the annual value of the economic benefit the term holder receives each year under the arrangement. </w:t>
      </w:r>
    </w:p>
    <w:p w:rsidR="006E0159" w:rsidRPr="009F2376" w:rsidRDefault="006E0159" w:rsidP="00A450CA">
      <w:pPr>
        <w:pStyle w:val="NormalWeb"/>
        <w:ind w:left="1800"/>
        <w:rPr>
          <w:sz w:val="22"/>
          <w:szCs w:val="22"/>
        </w:rPr>
      </w:pPr>
      <w:r w:rsidRPr="009F2376">
        <w:rPr>
          <w:sz w:val="22"/>
          <w:szCs w:val="22"/>
        </w:rPr>
        <w:lastRenderedPageBreak/>
        <w:t xml:space="preserve">On the other hand, if the term holder is required to pay the cash value sponsor each year an amount equal to the annual economic benefit (equal to the Table 2001 rate or alternative insurance company rate that may be used to gauge the tax value of the term insurance component conferred on the term holder in the split dollar arrangement), it seems there could be no gift even if the cash value sponsor cannot unilaterally terminate the arrangement. A gift occurs, under section 2512 of the Internal Revenue Code of 1986 as amended (“Code”), only to the extent the donor transfers an interest in exchange for something worth less than an adequate and full consideration in money or money’s worth; it seems the promise to pay the tax value of the term insurance component would be an adequate and full consideration in money or money’s worth—that is, the promise to pay the tax value should be of equal value to the promise to confer that tax value. </w:t>
      </w:r>
    </w:p>
    <w:p w:rsidR="006E0159" w:rsidRPr="009F2376" w:rsidRDefault="006E0159" w:rsidP="00A450CA">
      <w:pPr>
        <w:pStyle w:val="NormalWeb"/>
        <w:numPr>
          <w:ilvl w:val="0"/>
          <w:numId w:val="27"/>
        </w:numPr>
        <w:rPr>
          <w:b/>
          <w:sz w:val="22"/>
          <w:szCs w:val="22"/>
        </w:rPr>
      </w:pPr>
      <w:r w:rsidRPr="009F2376">
        <w:rPr>
          <w:b/>
          <w:sz w:val="22"/>
          <w:szCs w:val="22"/>
        </w:rPr>
        <w:t xml:space="preserve">Determining If Split Dollar Will Be Cost Efficient  </w:t>
      </w:r>
    </w:p>
    <w:p w:rsidR="006E0159" w:rsidRPr="009F2376" w:rsidRDefault="006E0159" w:rsidP="00A450CA">
      <w:pPr>
        <w:pStyle w:val="NormalWeb"/>
        <w:ind w:left="1800"/>
        <w:rPr>
          <w:sz w:val="22"/>
          <w:szCs w:val="22"/>
        </w:rPr>
      </w:pPr>
      <w:r w:rsidRPr="009F2376">
        <w:rPr>
          <w:sz w:val="22"/>
          <w:szCs w:val="22"/>
        </w:rPr>
        <w:t xml:space="preserve">Depending upon what the real cost of the term insurance is compared to the one year term cost as determined for tax purposes (that is, Table 2001 or the insurance company’s rates that can be used), such an economic benefit split dollar plan will or will not be more efficient than a standard acquisition by a family trust with the grantor paying the annual premiums. That is, more “taxable” benefit will be treated as being conferred on the term insurance holder by the cash value sponsor if the one year term cost of the insurance that year is greater than the AFR interest that would apply under section 7872 of the Code. </w:t>
      </w:r>
    </w:p>
    <w:p w:rsidR="006E0159" w:rsidRPr="009F2376" w:rsidRDefault="006E0159" w:rsidP="00A450CA">
      <w:pPr>
        <w:pStyle w:val="NormalWeb"/>
        <w:ind w:left="1800"/>
        <w:rPr>
          <w:sz w:val="22"/>
          <w:szCs w:val="22"/>
        </w:rPr>
      </w:pPr>
      <w:r w:rsidRPr="009F2376">
        <w:rPr>
          <w:sz w:val="22"/>
          <w:szCs w:val="22"/>
        </w:rPr>
        <w:t xml:space="preserve">Under the split dollar loan regime, the taxpayer may make a loan that essentially will be governed by section 7872. If the family trust must pay at least AFR interest, then no gift will be imputed even, apparently, if it is a term loan. See section 7872(a). However, the lender would have gross income each year equal to the AFR whether the interest is paid or foregone. But again, if the family trust is a grantor trust with respect to the lender, then there should be no gross income. Rev. Rul. 85-13. </w:t>
      </w:r>
    </w:p>
    <w:p w:rsidR="006E0159" w:rsidRPr="009F2376" w:rsidRDefault="006E0159" w:rsidP="000726CA">
      <w:pPr>
        <w:pStyle w:val="NormalWeb"/>
        <w:numPr>
          <w:ilvl w:val="0"/>
          <w:numId w:val="25"/>
        </w:numPr>
        <w:rPr>
          <w:b/>
          <w:sz w:val="22"/>
          <w:szCs w:val="22"/>
        </w:rPr>
      </w:pPr>
      <w:r w:rsidRPr="009F2376">
        <w:rPr>
          <w:b/>
          <w:sz w:val="22"/>
          <w:szCs w:val="22"/>
        </w:rPr>
        <w:t>Can the Arrangement Be Converted from the Economic Benefit Regime to the Loan Regime?</w:t>
      </w:r>
    </w:p>
    <w:p w:rsidR="006E0159" w:rsidRPr="009F2376" w:rsidRDefault="006E0159" w:rsidP="00855405">
      <w:pPr>
        <w:pStyle w:val="NormalWeb"/>
        <w:ind w:left="1800"/>
        <w:rPr>
          <w:sz w:val="22"/>
          <w:szCs w:val="22"/>
        </w:rPr>
      </w:pPr>
      <w:r w:rsidRPr="009F2376">
        <w:rPr>
          <w:sz w:val="22"/>
          <w:szCs w:val="22"/>
        </w:rPr>
        <w:t>Whether Table 2001 or the insurance company’s term rates that may be used to measure the tax value of the insurance protection under the economic benefit split dollar regime is used, the value of the annual economic benefit will increase as the insured ages.   At some point, it may be preferable to use the loan regime by having the trust be required to pay the lender the appropriate AFR.   However, there may be a significant adverse effect in such a conversion.  As indicated above, the family trust will hold the term insurance interest under a family economic benefit split dollar arrangement must account for the annual value of the term component.  However, if the family trust receives any additional benefit (such as cash value), either the economic benefit regime cannot be used (if the family trust is the owner of the policy) or even if used (because if the family trust owns the policy the economic benefit regime applies if the trust’s interest is limited to term insurance protection—that is, the family member is not limited to the family member’s “equity” (that is, premiums paid) in the arrangement.</w:t>
      </w:r>
    </w:p>
    <w:p w:rsidR="006E0159" w:rsidRPr="009F2376" w:rsidRDefault="006E0159" w:rsidP="003B17E6">
      <w:pPr>
        <w:pStyle w:val="NormalWeb"/>
        <w:ind w:left="1800"/>
        <w:rPr>
          <w:sz w:val="22"/>
          <w:szCs w:val="22"/>
        </w:rPr>
      </w:pPr>
      <w:r w:rsidRPr="009F2376">
        <w:rPr>
          <w:sz w:val="22"/>
          <w:szCs w:val="22"/>
        </w:rPr>
        <w:lastRenderedPageBreak/>
        <w:t>However, if the family member transfers his or her interest in the arrangement or the economic benefit regime is modified so that the arrangement is no longer a non-equity plan (that is, the trust is not limited to pure term insurance protection), the family member is treated as transferring the entire value of the policy.  Treas. Reg. §§ 1.61-22(c</w:t>
      </w:r>
      <w:proofErr w:type="gramStart"/>
      <w:r w:rsidRPr="009F2376">
        <w:rPr>
          <w:sz w:val="22"/>
          <w:szCs w:val="22"/>
        </w:rPr>
        <w:t>)(</w:t>
      </w:r>
      <w:proofErr w:type="gramEnd"/>
      <w:r w:rsidRPr="009F2376">
        <w:rPr>
          <w:sz w:val="22"/>
          <w:szCs w:val="22"/>
        </w:rPr>
        <w:t>3), 1.61-22(g)(1);  Treas. Reg. § 1.61-22(c)(1)(ii)(B).   Because it is at least arguable that the conversion of an economic benefit regime into a loan regime could be a modification of the arrangement so it is no longer a non-equity arrangement, it would appear not appropriate to rely on being able to make the conversion.</w:t>
      </w:r>
    </w:p>
    <w:p w:rsidR="006E0159" w:rsidRPr="009F2376" w:rsidRDefault="006E0159" w:rsidP="00014C38">
      <w:pPr>
        <w:pStyle w:val="NormalWeb"/>
        <w:numPr>
          <w:ilvl w:val="0"/>
          <w:numId w:val="25"/>
        </w:numPr>
        <w:rPr>
          <w:b/>
          <w:sz w:val="22"/>
          <w:szCs w:val="22"/>
        </w:rPr>
      </w:pPr>
      <w:r w:rsidRPr="009F2376">
        <w:rPr>
          <w:b/>
          <w:sz w:val="22"/>
          <w:szCs w:val="22"/>
        </w:rPr>
        <w:t>Where an Economic Benefit Regime Is Beneficial: How to Structure</w:t>
      </w:r>
    </w:p>
    <w:p w:rsidR="006E0159" w:rsidRPr="009F2376" w:rsidRDefault="006E0159" w:rsidP="003B45AE">
      <w:pPr>
        <w:pStyle w:val="NormalWeb"/>
        <w:ind w:left="1800"/>
        <w:rPr>
          <w:sz w:val="22"/>
          <w:szCs w:val="22"/>
        </w:rPr>
      </w:pPr>
      <w:r w:rsidRPr="009F2376">
        <w:rPr>
          <w:sz w:val="22"/>
          <w:szCs w:val="22"/>
        </w:rPr>
        <w:t xml:space="preserve">As indicated above, the economic benefit regime may be beneficial when the Table 2001 rate or the insurance company one year rates, in fact, are lower than the actual term cost under the policy.  That means that family member will be deemed to be making or may make gifts to the trust lower than the actual cost of the term insurance component held by the trust.  Especially, where the insured is “rated” (that is not qualifying as a “standard” or “preferred” risk), the gift tax savings may be significant.  Even if the actual cost of the term insurance component can be “covered” by annual exclusions under section 2503 of the Code, it likely is better from an overall perspective, the preserve the use of the annual exclusion, to the extent possible, to protect other property from tax.  Hence, the family member may make “annual exclusion” gifts to the trust and the trust need only pay the imputed value as opposed to the higher real value of the term insurance component the trust holds.  </w:t>
      </w:r>
    </w:p>
    <w:p w:rsidR="006E0159" w:rsidRPr="009F2376" w:rsidRDefault="006E0159" w:rsidP="003B45AE">
      <w:pPr>
        <w:pStyle w:val="NormalWeb"/>
        <w:ind w:left="1800"/>
        <w:rPr>
          <w:sz w:val="22"/>
          <w:szCs w:val="22"/>
        </w:rPr>
      </w:pPr>
      <w:r w:rsidRPr="009F2376">
        <w:rPr>
          <w:sz w:val="22"/>
          <w:szCs w:val="22"/>
        </w:rPr>
        <w:t>But, as mentioned, above, there is an even more efficient way to pay term premiums: pay them with income earned income-tax free “inside” the policy.  Because this income will be taken by the insurance company to pay term premiums, it will never be subjected to income tax even if the policy is surrender or sold before death.   Therefore, it is appropriate to attempt to have the family member build up sufficient cash value in the policy so the income will be sufficient to pay the term premiums.  In such a case(where the family member will pay the annual term premiums and be treated as annually making a gift to the trust), it is important to allow the family member terminate the split dollar agreement at will: as indicated above, if the family member cannot terminate the arrangement and the trust is not obliged to pay the term cost of the coverage it receives (but the family member must pay it), it is possible the Internal Revenue Service will content there is a significant gift made by the family member when the split dollar contract is entered.</w:t>
      </w:r>
    </w:p>
    <w:p w:rsidR="006E0159" w:rsidRPr="009F2376" w:rsidRDefault="006E0159" w:rsidP="00925B0B">
      <w:pPr>
        <w:pStyle w:val="NormalWeb"/>
        <w:ind w:left="1800"/>
        <w:rPr>
          <w:sz w:val="22"/>
          <w:szCs w:val="22"/>
        </w:rPr>
      </w:pPr>
      <w:r w:rsidRPr="009F2376">
        <w:rPr>
          <w:sz w:val="22"/>
          <w:szCs w:val="22"/>
        </w:rPr>
        <w:t xml:space="preserve">Also, it usually will be important not to have the insured be the family member who enters the split dollar arrangement </w:t>
      </w:r>
      <w:proofErr w:type="gramStart"/>
      <w:r w:rsidRPr="009F2376">
        <w:rPr>
          <w:sz w:val="22"/>
          <w:szCs w:val="22"/>
        </w:rPr>
        <w:t>will</w:t>
      </w:r>
      <w:proofErr w:type="gramEnd"/>
      <w:r w:rsidRPr="009F2376">
        <w:rPr>
          <w:sz w:val="22"/>
          <w:szCs w:val="22"/>
        </w:rPr>
        <w:t xml:space="preserve"> the trust.  The IRS likely will contend that the ownership of the cash value component is an “incident of ownership” which may cause the proceeds to be included in the insured’s gross estate for Federal estate tax purposes under section 2042.</w:t>
      </w:r>
    </w:p>
    <w:p w:rsidR="006E0159" w:rsidRPr="009F2376" w:rsidRDefault="006E0159" w:rsidP="0044389B">
      <w:pPr>
        <w:pStyle w:val="ListParagraph"/>
        <w:numPr>
          <w:ilvl w:val="0"/>
          <w:numId w:val="7"/>
        </w:numPr>
        <w:spacing w:after="0" w:line="240" w:lineRule="auto"/>
        <w:rPr>
          <w:rFonts w:ascii="Times New Roman" w:hAnsi="Times New Roman"/>
          <w:b/>
        </w:rPr>
      </w:pPr>
      <w:r w:rsidRPr="009F2376">
        <w:rPr>
          <w:rFonts w:ascii="Times New Roman" w:hAnsi="Times New Roman"/>
          <w:b/>
        </w:rPr>
        <w:t>TAX-FREE OR TAX-DEFERRED EARNINGS CAN BE GREATER AND SHOULD BE USED</w:t>
      </w:r>
    </w:p>
    <w:p w:rsidR="006E0159" w:rsidRPr="009F2376" w:rsidRDefault="006E0159" w:rsidP="00D0422E">
      <w:pPr>
        <w:pStyle w:val="ListParagraph"/>
        <w:spacing w:after="0" w:line="240" w:lineRule="auto"/>
        <w:ind w:left="1080"/>
        <w:rPr>
          <w:rFonts w:ascii="Times New Roman" w:hAnsi="Times New Roman"/>
        </w:rPr>
      </w:pPr>
    </w:p>
    <w:p w:rsidR="006E0159" w:rsidRPr="009F2376" w:rsidRDefault="006E0159" w:rsidP="0044389B">
      <w:pPr>
        <w:spacing w:after="0" w:line="240" w:lineRule="auto"/>
        <w:ind w:left="1080"/>
        <w:rPr>
          <w:rFonts w:ascii="Times New Roman" w:hAnsi="Times New Roman"/>
        </w:rPr>
      </w:pPr>
      <w:r w:rsidRPr="009F2376">
        <w:rPr>
          <w:rFonts w:ascii="Times New Roman" w:hAnsi="Times New Roman"/>
        </w:rPr>
        <w:t xml:space="preserve">As illustrated by Chart 7, usually much more, over time, can be held in and, therefore, earned by the cash or investment component of the policy than the amount needed to pay for term </w:t>
      </w:r>
      <w:r w:rsidRPr="009F2376">
        <w:rPr>
          <w:rFonts w:ascii="Times New Roman" w:hAnsi="Times New Roman"/>
        </w:rPr>
        <w:lastRenderedPageBreak/>
        <w:t>insurance.  Earning profits tax-free (or, at least, tax deferred) is one of the most effective financial planning strategies.  See Charts 7 and 8.  Failure to use the income tax favored environment which a life insurance policy offers may be detrimental if it is anticipated that approximately the same can be earned by investing “through” the policy as investing outside of it.  That comparison may be difficult to make.  However, as mentioned above, variable products (and specifically universal, flexible premium, variable policies) may offer the greatest opportunity to earn about as much “within” an insurance policy as “outside” of it, and provide a tax-free (or tax-deferred) investment environment as well.</w:t>
      </w:r>
    </w:p>
    <w:p w:rsidR="006E0159" w:rsidRPr="009F2376" w:rsidRDefault="006E0159" w:rsidP="0044389B">
      <w:pPr>
        <w:spacing w:after="0" w:line="240" w:lineRule="auto"/>
        <w:ind w:left="1080"/>
        <w:rPr>
          <w:rFonts w:ascii="Times New Roman" w:hAnsi="Times New Roman"/>
        </w:rPr>
      </w:pPr>
    </w:p>
    <w:p w:rsidR="006E0159" w:rsidRDefault="006E0159" w:rsidP="00F07252">
      <w:pPr>
        <w:pStyle w:val="ListParagraph"/>
        <w:numPr>
          <w:ilvl w:val="0"/>
          <w:numId w:val="7"/>
        </w:numPr>
        <w:spacing w:after="0" w:line="240" w:lineRule="auto"/>
        <w:rPr>
          <w:rFonts w:ascii="Times New Roman" w:hAnsi="Times New Roman"/>
          <w:b/>
        </w:rPr>
      </w:pPr>
      <w:r w:rsidRPr="009F2376">
        <w:rPr>
          <w:rFonts w:ascii="Times New Roman" w:hAnsi="Times New Roman"/>
          <w:b/>
        </w:rPr>
        <w:t>UNIQUE ESTATE PLANNING OPPORTUNITIES AND PITFALLS USING LIFE INSURANCE</w:t>
      </w:r>
    </w:p>
    <w:p w:rsidR="006E0159" w:rsidRPr="009F2376" w:rsidRDefault="006E0159" w:rsidP="002E2F85">
      <w:pPr>
        <w:pStyle w:val="ListParagraph"/>
        <w:spacing w:after="0" w:line="240" w:lineRule="auto"/>
        <w:ind w:left="1080"/>
        <w:rPr>
          <w:rFonts w:ascii="Times New Roman" w:hAnsi="Times New Roman"/>
          <w:b/>
        </w:rPr>
      </w:pPr>
    </w:p>
    <w:p w:rsidR="006E0159" w:rsidRPr="009F2376" w:rsidRDefault="006E0159" w:rsidP="0019374E">
      <w:pPr>
        <w:pStyle w:val="ListParagraph"/>
        <w:numPr>
          <w:ilvl w:val="0"/>
          <w:numId w:val="29"/>
        </w:numPr>
        <w:spacing w:after="0" w:line="240" w:lineRule="auto"/>
        <w:rPr>
          <w:rFonts w:ascii="Times New Roman" w:hAnsi="Times New Roman"/>
          <w:b/>
        </w:rPr>
      </w:pPr>
      <w:r w:rsidRPr="009F2376">
        <w:rPr>
          <w:rFonts w:ascii="Times New Roman" w:hAnsi="Times New Roman"/>
          <w:b/>
        </w:rPr>
        <w:t xml:space="preserve">  Lifetime Grantor Charitable Lead Annuity Trust</w:t>
      </w:r>
    </w:p>
    <w:p w:rsidR="006E0159" w:rsidRPr="009F2376" w:rsidRDefault="006E0159" w:rsidP="00367644">
      <w:pPr>
        <w:pStyle w:val="NormalWeb"/>
        <w:ind w:left="1800"/>
        <w:rPr>
          <w:sz w:val="22"/>
          <w:szCs w:val="22"/>
        </w:rPr>
      </w:pPr>
      <w:r w:rsidRPr="009F2376">
        <w:rPr>
          <w:sz w:val="22"/>
          <w:szCs w:val="22"/>
        </w:rPr>
        <w:t>The donor of a lifetime charitable lead annuity trust or CLAT (described in Section 170(f</w:t>
      </w:r>
      <w:proofErr w:type="gramStart"/>
      <w:r w:rsidRPr="009F2376">
        <w:rPr>
          <w:sz w:val="22"/>
          <w:szCs w:val="22"/>
        </w:rPr>
        <w:t>)(</w:t>
      </w:r>
      <w:proofErr w:type="gramEnd"/>
      <w:r w:rsidRPr="009F2376">
        <w:rPr>
          <w:sz w:val="22"/>
          <w:szCs w:val="22"/>
        </w:rPr>
        <w:t>2)(B) of the Code is entitled to an income tax deduction for the actuarial value of the interest which is dedicated to charity.   The concept of what is called a shark fin CLAT, under which small payments are made for years and then one large final payment payable as of the grantor’s death with proceeds of a life insurance policy owned by the trust, has recently been promoted.   However, four significant issues have raised that could result in adverse consequences.</w:t>
      </w:r>
    </w:p>
    <w:p w:rsidR="006E0159" w:rsidRPr="009F2376" w:rsidRDefault="006E0159" w:rsidP="00367644">
      <w:pPr>
        <w:pStyle w:val="NormalWeb"/>
        <w:ind w:left="1800"/>
        <w:rPr>
          <w:sz w:val="22"/>
          <w:szCs w:val="22"/>
        </w:rPr>
      </w:pPr>
      <w:r w:rsidRPr="009F2376">
        <w:rPr>
          <w:sz w:val="22"/>
          <w:szCs w:val="22"/>
        </w:rPr>
        <w:t>One commentary suggests that small payments from a CLT followed by a large one could cause the CLT to fail to qualify for tax benefits.</w:t>
      </w:r>
      <w:r w:rsidRPr="009F2376">
        <w:rPr>
          <w:rStyle w:val="FootnoteReference"/>
          <w:sz w:val="22"/>
          <w:szCs w:val="22"/>
        </w:rPr>
        <w:footnoteReference w:id="8"/>
      </w:r>
      <w:r w:rsidRPr="009F2376">
        <w:rPr>
          <w:sz w:val="22"/>
          <w:szCs w:val="22"/>
        </w:rPr>
        <w:t xml:space="preserve">  But another one made a persuasive case to the contrary.</w:t>
      </w:r>
      <w:r>
        <w:rPr>
          <w:rStyle w:val="FootnoteReference"/>
          <w:sz w:val="22"/>
          <w:szCs w:val="22"/>
        </w:rPr>
        <w:footnoteReference w:id="9"/>
      </w:r>
    </w:p>
    <w:p w:rsidR="006E0159" w:rsidRDefault="006E0159" w:rsidP="00367644">
      <w:pPr>
        <w:pStyle w:val="NormalWeb"/>
        <w:ind w:left="1800"/>
        <w:rPr>
          <w:sz w:val="22"/>
          <w:szCs w:val="22"/>
        </w:rPr>
      </w:pPr>
      <w:r w:rsidRPr="009F2376">
        <w:rPr>
          <w:sz w:val="22"/>
          <w:szCs w:val="22"/>
        </w:rPr>
        <w:t>However, three other issues seem more serious. The first is that having a CLT acquire a policy of insurance may result in a complete loss of deduction under Section 170(f</w:t>
      </w:r>
      <w:proofErr w:type="gramStart"/>
      <w:r w:rsidRPr="009F2376">
        <w:rPr>
          <w:sz w:val="22"/>
          <w:szCs w:val="22"/>
        </w:rPr>
        <w:t>)(</w:t>
      </w:r>
      <w:proofErr w:type="gramEnd"/>
      <w:r w:rsidRPr="009F2376">
        <w:rPr>
          <w:sz w:val="22"/>
          <w:szCs w:val="22"/>
        </w:rPr>
        <w:t>10).  The second is that the Code may be read as requiring a severe “recapture” of the income tax benefit.  Although the regulatory recapture rule is less severe, the Code takes precedent over regulations as a general rule.  The third is that, even if the milder regulatory rule prevails over the Code rule, it is possible that a significant recapture would occur when the final payment arises as of and by reason of the death of the grantor of the CLT.</w:t>
      </w:r>
      <w:r w:rsidRPr="00901C0A">
        <w:rPr>
          <w:rStyle w:val="FootnoteReference"/>
          <w:sz w:val="22"/>
          <w:szCs w:val="22"/>
        </w:rPr>
        <w:t xml:space="preserve"> </w:t>
      </w:r>
      <w:r>
        <w:rPr>
          <w:rStyle w:val="FootnoteReference"/>
          <w:sz w:val="22"/>
          <w:szCs w:val="22"/>
        </w:rPr>
        <w:footnoteReference w:id="10"/>
      </w:r>
      <w:r>
        <w:rPr>
          <w:sz w:val="22"/>
          <w:szCs w:val="22"/>
        </w:rPr>
        <w:t xml:space="preserve">  </w:t>
      </w:r>
    </w:p>
    <w:p w:rsidR="006E0159" w:rsidRPr="009F2376" w:rsidRDefault="006E0159" w:rsidP="00F07252">
      <w:pPr>
        <w:pStyle w:val="NormalWeb"/>
        <w:ind w:left="1800"/>
        <w:rPr>
          <w:sz w:val="22"/>
          <w:szCs w:val="22"/>
        </w:rPr>
      </w:pPr>
      <w:r w:rsidRPr="009F2376">
        <w:rPr>
          <w:sz w:val="22"/>
          <w:szCs w:val="22"/>
        </w:rPr>
        <w:t xml:space="preserve">Initially, the IRS concluded that such a split dollar arrangement represented an interest free loan from the employer to the employee. See Rev. Rul. 55-713, 1955-2 CB 23. Later, the IRS concluded that the arrangement did not represent a loan but represented a circumstance where the employer was conferring an “economic benefit” equal to that part of the insurance coverage that would be paid to the employee’s named beneficiary if the employee died that year (that is, the proceeds reduced by the greater of cash value or premiums the employer had paid). Rev. Rul. 64-328, 1964-2 CB 11, amplified by Rev. Rul. 78-420, 1978-2 CB 67, modified by Notice 2001-10, 2001-1 CB 459, modified by Notice 2002-8, 2002-1 CB 398, </w:t>
      </w:r>
      <w:proofErr w:type="spellStart"/>
      <w:r w:rsidRPr="009F2376">
        <w:rPr>
          <w:sz w:val="22"/>
          <w:szCs w:val="22"/>
        </w:rPr>
        <w:lastRenderedPageBreak/>
        <w:t>obsoleted</w:t>
      </w:r>
      <w:proofErr w:type="spellEnd"/>
      <w:r w:rsidRPr="009F2376">
        <w:rPr>
          <w:sz w:val="22"/>
          <w:szCs w:val="22"/>
        </w:rPr>
        <w:t xml:space="preserve"> by Rev. Rul. 2003-105, 2003-1 CB 2003-2 CB 696. This type of split dollar became known as “economic benefit” split dollar.</w:t>
      </w:r>
    </w:p>
    <w:p w:rsidR="006E0159" w:rsidRPr="009F2376" w:rsidRDefault="006E0159" w:rsidP="00F07252">
      <w:pPr>
        <w:pStyle w:val="NormalWeb"/>
        <w:ind w:left="1800"/>
        <w:rPr>
          <w:sz w:val="22"/>
          <w:szCs w:val="22"/>
        </w:rPr>
      </w:pPr>
      <w:r w:rsidRPr="009F2376">
        <w:rPr>
          <w:sz w:val="22"/>
          <w:szCs w:val="22"/>
        </w:rPr>
        <w:t xml:space="preserve">From 1964 to 2003, when the Treasury Department issued final regulations dealing with the tax effects of certain split dollar insurance arrangements, the IRS issued several additional revenue rulings, private letter rulings, technical advice memoranda and notices about split dollar plans. These included arrangements between corporations and shareholders, partnerships and partners and family members or entities on their behalf (see PLR 9636933 (not precedent)), all essentially following the principles of the economic benefit regime of Rev. Rul. 64-328. </w:t>
      </w:r>
    </w:p>
    <w:p w:rsidR="006E0159" w:rsidRPr="009F2376" w:rsidRDefault="006E0159" w:rsidP="00F07252">
      <w:pPr>
        <w:pStyle w:val="NormalWeb"/>
        <w:ind w:left="1800"/>
        <w:rPr>
          <w:sz w:val="22"/>
          <w:szCs w:val="22"/>
        </w:rPr>
      </w:pPr>
      <w:r w:rsidRPr="009F2376">
        <w:rPr>
          <w:sz w:val="22"/>
          <w:szCs w:val="22"/>
        </w:rPr>
        <w:t xml:space="preserve">In some ways, the final split dollar regulations adopt the two original positions of the IRS with respect to split dollar: a loan regime and an economic benefit regime. In some places in this article, the person who is entitled to a return of cash value or premiums paid is sometimes called the “cash value sponsor” (because that person essentially is providing the premium that is used to pay for the cash value component of the policy) and the party entitled to control the death benefit above the amount to which the cash value sponsor is entitled as the “term holder.” </w:t>
      </w:r>
    </w:p>
    <w:p w:rsidR="006E0159" w:rsidRPr="009F2376" w:rsidRDefault="006E0159" w:rsidP="00CA1EF8">
      <w:pPr>
        <w:pStyle w:val="NormalWeb"/>
        <w:numPr>
          <w:ilvl w:val="0"/>
          <w:numId w:val="29"/>
        </w:numPr>
        <w:rPr>
          <w:b/>
          <w:sz w:val="22"/>
          <w:szCs w:val="22"/>
        </w:rPr>
      </w:pPr>
      <w:r w:rsidRPr="009F2376">
        <w:rPr>
          <w:b/>
          <w:sz w:val="22"/>
          <w:szCs w:val="22"/>
        </w:rPr>
        <w:t>Preserving the $5 Million Gift and GST Exemptions Used Now</w:t>
      </w:r>
    </w:p>
    <w:p w:rsidR="006E0159" w:rsidRPr="009F2376" w:rsidRDefault="006E0159" w:rsidP="00826B94">
      <w:pPr>
        <w:pStyle w:val="NormalWeb"/>
        <w:ind w:left="1800"/>
        <w:rPr>
          <w:sz w:val="22"/>
          <w:szCs w:val="22"/>
        </w:rPr>
      </w:pPr>
      <w:r w:rsidRPr="009F2376">
        <w:rPr>
          <w:sz w:val="22"/>
          <w:szCs w:val="22"/>
        </w:rPr>
        <w:t xml:space="preserve">The gift, estate and GST exemptions are now $5 million.  A strong case can be made that it is wise to use the gift and GST exemptions now by transferring the property in trust for the grantor, the grantor’s spouse or others. </w:t>
      </w:r>
      <w:r w:rsidRPr="009F2376">
        <w:rPr>
          <w:rStyle w:val="FootnoteReference"/>
          <w:sz w:val="22"/>
          <w:szCs w:val="22"/>
        </w:rPr>
        <w:footnoteReference w:id="11"/>
      </w:r>
      <w:r w:rsidRPr="009F2376">
        <w:rPr>
          <w:sz w:val="22"/>
          <w:szCs w:val="22"/>
        </w:rPr>
        <w:t xml:space="preserve">  However, if upon the death of the taxpayer, the trust is worth less than $5 million on account of adverse investment performance, the exemptions may be used as partially wasted.  To ensure that there is no such waste, consideration may be given to having the trust to which the exemption amount was transferred acquire a policy of insurance on the life of the grantor with a face amount equal to the most probable lowest value that the trust might be at the grantor’s death.</w:t>
      </w:r>
    </w:p>
    <w:p w:rsidR="006E0159" w:rsidRPr="009F2376" w:rsidRDefault="006E0159" w:rsidP="00CA1EF8">
      <w:pPr>
        <w:pStyle w:val="NormalWeb"/>
        <w:numPr>
          <w:ilvl w:val="0"/>
          <w:numId w:val="29"/>
        </w:numPr>
        <w:rPr>
          <w:b/>
          <w:sz w:val="22"/>
          <w:szCs w:val="22"/>
        </w:rPr>
      </w:pPr>
      <w:r w:rsidRPr="009F2376">
        <w:rPr>
          <w:b/>
          <w:sz w:val="22"/>
          <w:szCs w:val="22"/>
        </w:rPr>
        <w:t xml:space="preserve"> Preserving the Maximum Benefit for Roth IRA Conversions</w:t>
      </w:r>
    </w:p>
    <w:p w:rsidR="006E0159" w:rsidRPr="009F2376" w:rsidRDefault="006E0159" w:rsidP="009B4FFE">
      <w:pPr>
        <w:pStyle w:val="NormalWeb"/>
        <w:ind w:left="1800"/>
        <w:rPr>
          <w:sz w:val="22"/>
          <w:szCs w:val="22"/>
        </w:rPr>
      </w:pPr>
      <w:r w:rsidRPr="009F2376">
        <w:rPr>
          <w:sz w:val="22"/>
          <w:szCs w:val="22"/>
        </w:rPr>
        <w:t>It will be financially advantageous for many taxpayers to convert qualified plan and regular IRAs into Roth IRAs.</w:t>
      </w:r>
      <w:r w:rsidRPr="009F2376">
        <w:rPr>
          <w:rStyle w:val="FootnoteReference"/>
          <w:sz w:val="22"/>
          <w:szCs w:val="22"/>
        </w:rPr>
        <w:footnoteReference w:id="12"/>
      </w:r>
      <w:r w:rsidRPr="009F2376">
        <w:rPr>
          <w:sz w:val="22"/>
          <w:szCs w:val="22"/>
        </w:rPr>
        <w:t xml:space="preserve">   Once the conversion occurs, not only will the IRA grow free of income tax but distributions also, as a general rule, will not be included in gross income and no minimum distributions need be taken by the Roth IRA owner or his or her spouse who inherits the account.  A Roth IRA is likely the most efficient asset to inherit.  Although most inherited assets receive a so-called “step up” in basis equal to estate tax value pursuant to Section 1014 of the Code, income and gain earned thereafter will be subject, as a general rule, from income tax.  However, distributions of earnings and gain experienced in a Roth IRA even after the owner’s death continue to be excluded from the inheritor’s gross income.   Although the minimum distribution rules come into effect once the IRA’s owner dies, these distributions can be spread out over the (</w:t>
      </w:r>
      <w:proofErr w:type="spellStart"/>
      <w:r w:rsidRPr="009F2376">
        <w:rPr>
          <w:sz w:val="22"/>
          <w:szCs w:val="22"/>
        </w:rPr>
        <w:t>unrecalculated</w:t>
      </w:r>
      <w:proofErr w:type="spellEnd"/>
      <w:r w:rsidRPr="009F2376">
        <w:rPr>
          <w:sz w:val="22"/>
          <w:szCs w:val="22"/>
        </w:rPr>
        <w:t xml:space="preserve">) life expectancy of the </w:t>
      </w:r>
      <w:r w:rsidRPr="009F2376">
        <w:rPr>
          <w:sz w:val="22"/>
          <w:szCs w:val="22"/>
        </w:rPr>
        <w:lastRenderedPageBreak/>
        <w:t>inheritor.</w:t>
      </w:r>
      <w:r w:rsidRPr="009F2376">
        <w:rPr>
          <w:rStyle w:val="FootnoteReference"/>
          <w:sz w:val="22"/>
          <w:szCs w:val="22"/>
        </w:rPr>
        <w:footnoteReference w:id="13"/>
      </w:r>
      <w:r w:rsidRPr="009F2376">
        <w:rPr>
          <w:sz w:val="22"/>
          <w:szCs w:val="22"/>
        </w:rPr>
        <w:t xml:space="preserve">  This can be a considerable period for a young person such as, perhaps, a grandchild of the IRA owner.  However, estate tax may be due on the value of the Roth IRA.  If distributions from the IRA itself must be taken to pay that estate tax, the opportunity to postpone the income taxation of earnings</w:t>
      </w:r>
    </w:p>
    <w:p w:rsidR="006E0159" w:rsidRPr="009F2376" w:rsidRDefault="006E0159" w:rsidP="00CA1EF8">
      <w:pPr>
        <w:pStyle w:val="NormalWeb"/>
        <w:numPr>
          <w:ilvl w:val="0"/>
          <w:numId w:val="29"/>
        </w:numPr>
        <w:rPr>
          <w:b/>
          <w:sz w:val="22"/>
          <w:szCs w:val="22"/>
        </w:rPr>
      </w:pPr>
      <w:r w:rsidRPr="009F2376">
        <w:rPr>
          <w:b/>
          <w:sz w:val="22"/>
          <w:szCs w:val="22"/>
        </w:rPr>
        <w:t>Hedging Estate Planning Arrangements with Life Insurance</w:t>
      </w:r>
    </w:p>
    <w:p w:rsidR="006E0159" w:rsidRPr="009F2376" w:rsidRDefault="006E0159" w:rsidP="00C06DFC">
      <w:pPr>
        <w:pStyle w:val="NormalWeb"/>
        <w:ind w:left="1800"/>
        <w:rPr>
          <w:sz w:val="22"/>
          <w:szCs w:val="22"/>
        </w:rPr>
      </w:pPr>
      <w:r w:rsidRPr="009F2376">
        <w:rPr>
          <w:sz w:val="22"/>
          <w:szCs w:val="22"/>
        </w:rPr>
        <w:t>Many common lifetime estate planning strategies such as grantor retained annuity trusts for family members, grantor retained income trusts for non-family members, (qualified) personal residence trusts and installment sales to grantor trust can be very efficient estate tax planning vehicles.</w:t>
      </w:r>
      <w:r w:rsidRPr="009F2376">
        <w:rPr>
          <w:rStyle w:val="FootnoteReference"/>
          <w:sz w:val="22"/>
          <w:szCs w:val="22"/>
        </w:rPr>
        <w:footnoteReference w:id="14"/>
      </w:r>
      <w:r w:rsidRPr="009F2376">
        <w:rPr>
          <w:sz w:val="22"/>
          <w:szCs w:val="22"/>
        </w:rPr>
        <w:t xml:space="preserve">  However, many will fail to achieve their goal if the grantor dies prematurely or, such as with an installment sale to a grantor trust, insufficient time passes to the disparity in the actual earnings on the property sold to “over power” the Applicable Federal Rate (AFR) of interest usually charged on such arrangements.   Life insurance on the life of the grantor probably should be considered as a hedge against a premature death.  </w:t>
      </w:r>
    </w:p>
    <w:p w:rsidR="006E0159" w:rsidRPr="009F2376" w:rsidRDefault="006E0159" w:rsidP="00CA1EF8">
      <w:pPr>
        <w:pStyle w:val="NormalWeb"/>
        <w:numPr>
          <w:ilvl w:val="0"/>
          <w:numId w:val="29"/>
        </w:numPr>
        <w:rPr>
          <w:b/>
          <w:sz w:val="22"/>
          <w:szCs w:val="22"/>
        </w:rPr>
      </w:pPr>
      <w:r w:rsidRPr="009F2376">
        <w:rPr>
          <w:b/>
          <w:sz w:val="22"/>
          <w:szCs w:val="22"/>
        </w:rPr>
        <w:t>Why and How Single Life Policies Are More Efficient Than Second to Die Ones</w:t>
      </w:r>
    </w:p>
    <w:p w:rsidR="006E0159" w:rsidRPr="009F2376" w:rsidRDefault="006E0159" w:rsidP="002129B2">
      <w:pPr>
        <w:pStyle w:val="NormalWeb"/>
        <w:ind w:left="1800"/>
        <w:rPr>
          <w:sz w:val="22"/>
          <w:szCs w:val="22"/>
        </w:rPr>
      </w:pPr>
      <w:r w:rsidRPr="009F2376">
        <w:rPr>
          <w:sz w:val="22"/>
          <w:szCs w:val="22"/>
        </w:rPr>
        <w:t>Second to die policies (that is, a policy that pays a death benefit upon the death of the survivor of a husband and wife) came into widespread use after the enactment of the so-called “unlimited” estate tax marital deduction by the Economic Recovery Tax Act of 1981.</w:t>
      </w:r>
      <w:r w:rsidRPr="009F2376">
        <w:rPr>
          <w:rStyle w:val="FootnoteReference"/>
          <w:sz w:val="22"/>
          <w:szCs w:val="22"/>
        </w:rPr>
        <w:footnoteReference w:id="15"/>
      </w:r>
      <w:r w:rsidRPr="009F2376">
        <w:rPr>
          <w:sz w:val="22"/>
          <w:szCs w:val="22"/>
        </w:rPr>
        <w:t xml:space="preserve">  Although a second to die policy may seem more efficient, it probably is more expensive on a present value cost and benefit analysis than one on the life of only one spouse.</w:t>
      </w:r>
      <w:r w:rsidRPr="009F2376">
        <w:rPr>
          <w:rStyle w:val="FootnoteReference"/>
          <w:sz w:val="22"/>
          <w:szCs w:val="22"/>
        </w:rPr>
        <w:footnoteReference w:id="16"/>
      </w:r>
    </w:p>
    <w:p w:rsidR="006E0159" w:rsidRPr="009F2376" w:rsidRDefault="006E0159" w:rsidP="002129B2">
      <w:pPr>
        <w:pStyle w:val="NormalWeb"/>
        <w:ind w:left="1800"/>
        <w:rPr>
          <w:sz w:val="22"/>
          <w:szCs w:val="22"/>
        </w:rPr>
      </w:pPr>
      <w:r w:rsidRPr="009F2376">
        <w:rPr>
          <w:sz w:val="22"/>
          <w:szCs w:val="22"/>
        </w:rPr>
        <w:t xml:space="preserve">Here is an example.  Assume a husband owns $20 million of assets and wishes that amount to be available for his wife is she survives him and for $20 million to pass to his children when the survivor of them dies.   Assuming that the effective estate tax rate is 50% and the estate tax exemption is $3.5 million (so together the couple has $7 million of exemptions), $13 million will be subject to estate tax when they both have died resulting in a $6.5 million tax leaving $13.5 million for the children.  One option, as indicated would be for the couple to arrange for the acquisition of a $6.5 million second to die policy in a way that the proceeds will be excluded from the gross estates of the spouses.  An alternative is to have insurance only on the life of the husband who would leave $2 million in a trust for his wife and descendants, be protected from estate tax upon her death and leave the balance outright to the wife.  The wife could take the $16 million of the $18 million she has inherited and give $10,666,667 to a trust for </w:t>
      </w:r>
      <w:proofErr w:type="gramStart"/>
      <w:r w:rsidRPr="009F2376">
        <w:rPr>
          <w:sz w:val="22"/>
          <w:szCs w:val="22"/>
        </w:rPr>
        <w:t>herself</w:t>
      </w:r>
      <w:proofErr w:type="gramEnd"/>
      <w:r w:rsidRPr="009F2376">
        <w:rPr>
          <w:sz w:val="22"/>
          <w:szCs w:val="22"/>
        </w:rPr>
        <w:t xml:space="preserve"> and the children in a manner so it would not be </w:t>
      </w:r>
      <w:r w:rsidRPr="009F2376">
        <w:rPr>
          <w:sz w:val="22"/>
          <w:szCs w:val="22"/>
        </w:rPr>
        <w:lastRenderedPageBreak/>
        <w:t>included in her gross estate upon her death.</w:t>
      </w:r>
      <w:r w:rsidRPr="009F2376">
        <w:rPr>
          <w:rStyle w:val="FootnoteReference"/>
          <w:sz w:val="22"/>
          <w:szCs w:val="22"/>
        </w:rPr>
        <w:footnoteReference w:id="17"/>
      </w:r>
      <w:r w:rsidRPr="009F2376">
        <w:rPr>
          <w:sz w:val="22"/>
          <w:szCs w:val="22"/>
        </w:rPr>
        <w:t xml:space="preserve">  With a 50% gift tax rate, she would owe (assuming her exemption for gift tax purposes also was $2 million) a 50% gift tax of $4,333,333 on the gift (after her $2 million exemption) of $8,666,667 (that is, the $10,666,667 gift reduced by her $2 million gift tax exemption.)</w:t>
      </w:r>
      <w:r w:rsidRPr="009F2376">
        <w:rPr>
          <w:rStyle w:val="FootnoteReference"/>
          <w:sz w:val="22"/>
          <w:szCs w:val="22"/>
        </w:rPr>
        <w:footnoteReference w:id="18"/>
      </w:r>
      <w:r w:rsidRPr="009F2376">
        <w:rPr>
          <w:sz w:val="22"/>
          <w:szCs w:val="22"/>
        </w:rPr>
        <w:t xml:space="preserve">  The erosion of the couple’s property by lifetime gifts after the husband’s death is only $4,333,333 rather </w:t>
      </w:r>
      <w:proofErr w:type="gramStart"/>
      <w:r w:rsidRPr="009F2376">
        <w:rPr>
          <w:sz w:val="22"/>
          <w:szCs w:val="22"/>
        </w:rPr>
        <w:t>than a $</w:t>
      </w:r>
      <w:proofErr w:type="gramEnd"/>
      <w:r w:rsidRPr="009F2376">
        <w:rPr>
          <w:sz w:val="22"/>
          <w:szCs w:val="22"/>
        </w:rPr>
        <w:t>6,500,000 erosion that would occur if the tax is postponed until the spouse dies.  Hence, the couple needs only a $4,333,333 policy on the husband’s life rather than a $6.5 million second to die policy.  Even assuming the present value cost of a $6.5 million second to die policy is no more than a $6.5 million on the life of one of the spouses (and it is likely more), the couple needs one-third less insurance, thereby reducing the present value cost of the insurance by at least one-third.</w:t>
      </w:r>
    </w:p>
    <w:p w:rsidR="006E0159" w:rsidRPr="009F2376" w:rsidRDefault="006E0159" w:rsidP="00D0422E">
      <w:pPr>
        <w:pStyle w:val="ListParagraph"/>
        <w:spacing w:after="0" w:line="240" w:lineRule="auto"/>
        <w:ind w:left="1080"/>
        <w:rPr>
          <w:rFonts w:ascii="Times New Roman" w:hAnsi="Times New Roman"/>
        </w:rPr>
      </w:pPr>
    </w:p>
    <w:p w:rsidR="006E0159" w:rsidRPr="009F2376" w:rsidRDefault="006E0159" w:rsidP="00723F5C">
      <w:pPr>
        <w:pStyle w:val="ListParagraph"/>
        <w:numPr>
          <w:ilvl w:val="0"/>
          <w:numId w:val="7"/>
        </w:numPr>
        <w:spacing w:after="0" w:line="240" w:lineRule="auto"/>
        <w:rPr>
          <w:rFonts w:ascii="Times New Roman" w:hAnsi="Times New Roman"/>
          <w:b/>
        </w:rPr>
      </w:pPr>
      <w:r w:rsidRPr="009F2376">
        <w:rPr>
          <w:rFonts w:ascii="Times New Roman" w:hAnsi="Times New Roman"/>
          <w:b/>
        </w:rPr>
        <w:t>SUMMARY AND CONCLUSIONS</w:t>
      </w:r>
    </w:p>
    <w:p w:rsidR="006E0159" w:rsidRPr="009F2376" w:rsidRDefault="006E0159" w:rsidP="0065643C">
      <w:pPr>
        <w:pStyle w:val="ListParagraph"/>
        <w:spacing w:after="0" w:line="240" w:lineRule="auto"/>
        <w:ind w:left="1080"/>
        <w:rPr>
          <w:rFonts w:ascii="Times New Roman" w:hAnsi="Times New Roman"/>
          <w:b/>
        </w:rPr>
      </w:pPr>
    </w:p>
    <w:p w:rsidR="006E0159" w:rsidRPr="009F2376" w:rsidRDefault="006E0159" w:rsidP="009910D0">
      <w:pPr>
        <w:spacing w:after="0" w:line="240" w:lineRule="auto"/>
        <w:ind w:left="1080"/>
        <w:rPr>
          <w:rFonts w:ascii="Times New Roman" w:hAnsi="Times New Roman"/>
        </w:rPr>
      </w:pPr>
      <w:r w:rsidRPr="009F2376">
        <w:rPr>
          <w:rFonts w:ascii="Times New Roman" w:hAnsi="Times New Roman"/>
        </w:rPr>
        <w:t xml:space="preserve">Life insurance is a unique asset.  It is specially treated for property and tax law purposed.  Often, that treatment is beneficial.  No matter how it is “labeled,” life insurance typically consists of a term insurance component coupled, in some cases, with a cash or investment component.  Which type of product is best to use depends upon the particular circumstances and goals to be achieved.  In any event, opportunities to structure the ownership of insurance so as to pay for the term insurance component with income which will never be taxed are available with certain products.  </w:t>
      </w:r>
    </w:p>
    <w:p w:rsidR="006E0159" w:rsidRPr="009F2376" w:rsidRDefault="006E0159" w:rsidP="0065643C">
      <w:pPr>
        <w:pStyle w:val="ListParagraph"/>
        <w:spacing w:after="0" w:line="240" w:lineRule="auto"/>
        <w:ind w:left="1080"/>
        <w:rPr>
          <w:rFonts w:ascii="Times New Roman" w:hAnsi="Times New Roman"/>
        </w:rPr>
      </w:pPr>
    </w:p>
    <w:p w:rsidR="006E0159" w:rsidRPr="009F2376" w:rsidRDefault="006E0159" w:rsidP="00723F5C">
      <w:pPr>
        <w:pStyle w:val="ListParagraph"/>
        <w:numPr>
          <w:ilvl w:val="0"/>
          <w:numId w:val="7"/>
        </w:numPr>
        <w:spacing w:after="0" w:line="240" w:lineRule="auto"/>
        <w:rPr>
          <w:rFonts w:ascii="Times New Roman" w:hAnsi="Times New Roman"/>
          <w:b/>
        </w:rPr>
      </w:pPr>
      <w:r w:rsidRPr="009F2376">
        <w:rPr>
          <w:rFonts w:ascii="Times New Roman" w:hAnsi="Times New Roman"/>
          <w:b/>
        </w:rPr>
        <w:t>CHARTS</w:t>
      </w:r>
    </w:p>
    <w:p w:rsidR="00300C35" w:rsidRPr="00300C35" w:rsidRDefault="00300C35" w:rsidP="00300C35">
      <w:pPr>
        <w:spacing w:after="0" w:line="240" w:lineRule="auto"/>
        <w:rPr>
          <w:rFonts w:ascii="Times New Roman" w:hAnsi="Times New Roman"/>
          <w:b/>
        </w:rPr>
      </w:pPr>
    </w:p>
    <w:p w:rsidR="00300C35" w:rsidRDefault="00300C35" w:rsidP="00067FF1">
      <w:pPr>
        <w:pStyle w:val="ListParagraph"/>
        <w:spacing w:after="0" w:line="240" w:lineRule="auto"/>
        <w:ind w:left="1080"/>
        <w:rPr>
          <w:rFonts w:ascii="Times New Roman" w:hAnsi="Times New Roman"/>
          <w:b/>
        </w:rPr>
      </w:pPr>
      <w:proofErr w:type="gramStart"/>
      <w:r>
        <w:rPr>
          <w:rFonts w:ascii="Times New Roman" w:hAnsi="Times New Roman"/>
          <w:b/>
        </w:rPr>
        <w:t>Chart 1.</w:t>
      </w:r>
      <w:proofErr w:type="gramEnd"/>
    </w:p>
    <w:p w:rsidR="00063BE5" w:rsidRDefault="00063BE5" w:rsidP="00067FF1">
      <w:pPr>
        <w:pStyle w:val="ListParagraph"/>
        <w:spacing w:after="0" w:line="240" w:lineRule="auto"/>
        <w:ind w:left="1080"/>
        <w:rPr>
          <w:rFonts w:ascii="Times New Roman" w:hAnsi="Times New Roman"/>
          <w:b/>
        </w:rPr>
      </w:pPr>
      <w:r>
        <w:rPr>
          <w:rFonts w:ascii="Times New Roman" w:hAnsi="Times New Roman"/>
          <w:b/>
        </w:rPr>
        <w:t>A Chart Illustration of an Example of Term Insurance (e.g., For One Year)</w:t>
      </w:r>
    </w:p>
    <w:p w:rsidR="00300C35" w:rsidRPr="009F2376" w:rsidRDefault="00300C35" w:rsidP="00067FF1">
      <w:pPr>
        <w:pStyle w:val="ListParagraph"/>
        <w:spacing w:after="0" w:line="240" w:lineRule="auto"/>
        <w:ind w:left="1080"/>
        <w:rPr>
          <w:rFonts w:ascii="Times New Roman" w:hAnsi="Times New Roman"/>
          <w:b/>
        </w:rPr>
      </w:pPr>
    </w:p>
    <w:p w:rsidR="00300C35" w:rsidRDefault="00300C35" w:rsidP="0034164B">
      <w:pPr>
        <w:pStyle w:val="ListParagraph"/>
        <w:spacing w:after="0" w:line="240" w:lineRule="auto"/>
        <w:ind w:left="1080"/>
        <w:jc w:val="center"/>
        <w:rPr>
          <w:rFonts w:ascii="Times New Roman" w:hAnsi="Times New Roman"/>
          <w:b/>
          <w:sz w:val="24"/>
          <w:szCs w:val="24"/>
          <w:u w:val="single"/>
        </w:rPr>
      </w:pPr>
      <w:r w:rsidRPr="00300C35">
        <w:rPr>
          <w:rFonts w:ascii="Times New Roman" w:hAnsi="Times New Roman"/>
          <w:b/>
          <w:noProof/>
          <w:sz w:val="24"/>
          <w:szCs w:val="24"/>
          <w:u w:val="single"/>
        </w:rPr>
        <w:drawing>
          <wp:inline distT="0" distB="0" distL="0" distR="0">
            <wp:extent cx="5163094" cy="23622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163094" cy="2362200"/>
                    </a:xfrm>
                    <a:prstGeom prst="rect">
                      <a:avLst/>
                    </a:prstGeom>
                    <a:noFill/>
                    <a:ln w="9525">
                      <a:noFill/>
                      <a:miter lim="800000"/>
                      <a:headEnd/>
                      <a:tailEnd/>
                    </a:ln>
                  </pic:spPr>
                </pic:pic>
              </a:graphicData>
            </a:graphic>
          </wp:inline>
        </w:drawing>
      </w:r>
    </w:p>
    <w:p w:rsidR="00300C35" w:rsidRDefault="00300C35" w:rsidP="0034164B">
      <w:pPr>
        <w:pStyle w:val="ListParagraph"/>
        <w:spacing w:after="0" w:line="240" w:lineRule="auto"/>
        <w:ind w:left="1080"/>
        <w:jc w:val="center"/>
        <w:rPr>
          <w:rFonts w:ascii="Times New Roman" w:hAnsi="Times New Roman"/>
          <w:b/>
          <w:sz w:val="24"/>
          <w:szCs w:val="24"/>
          <w:u w:val="single"/>
        </w:rPr>
      </w:pPr>
    </w:p>
    <w:p w:rsidR="00300C35" w:rsidRDefault="00300C35" w:rsidP="0034164B">
      <w:pPr>
        <w:pStyle w:val="ListParagraph"/>
        <w:spacing w:after="0" w:line="240" w:lineRule="auto"/>
        <w:ind w:left="1080"/>
        <w:jc w:val="center"/>
        <w:rPr>
          <w:rFonts w:ascii="Times New Roman" w:hAnsi="Times New Roman"/>
          <w:b/>
          <w:sz w:val="24"/>
          <w:szCs w:val="24"/>
          <w:u w:val="single"/>
        </w:rPr>
      </w:pPr>
    </w:p>
    <w:p w:rsidR="00300C35" w:rsidRDefault="00300C35" w:rsidP="0034164B">
      <w:pPr>
        <w:pStyle w:val="ListParagraph"/>
        <w:spacing w:after="0" w:line="240" w:lineRule="auto"/>
        <w:ind w:left="1080"/>
        <w:jc w:val="center"/>
        <w:rPr>
          <w:rFonts w:ascii="Times New Roman" w:hAnsi="Times New Roman"/>
          <w:b/>
          <w:sz w:val="24"/>
          <w:szCs w:val="24"/>
          <w:u w:val="single"/>
        </w:rPr>
      </w:pPr>
    </w:p>
    <w:p w:rsidR="00300C35" w:rsidRDefault="00292FAD" w:rsidP="00300C35">
      <w:pPr>
        <w:pStyle w:val="ListParagraph"/>
        <w:spacing w:after="0" w:line="240" w:lineRule="auto"/>
        <w:ind w:left="1080"/>
        <w:rPr>
          <w:rFonts w:ascii="Times New Roman" w:hAnsi="Times New Roman"/>
          <w:b/>
          <w:sz w:val="24"/>
          <w:szCs w:val="24"/>
        </w:rPr>
      </w:pPr>
      <w:proofErr w:type="gramStart"/>
      <w:r>
        <w:rPr>
          <w:rFonts w:ascii="Times New Roman" w:hAnsi="Times New Roman"/>
          <w:b/>
          <w:sz w:val="24"/>
          <w:szCs w:val="24"/>
        </w:rPr>
        <w:t>Chart 2.</w:t>
      </w:r>
      <w:proofErr w:type="gramEnd"/>
    </w:p>
    <w:p w:rsidR="00A636F7" w:rsidRDefault="007F4810" w:rsidP="00300C35">
      <w:pPr>
        <w:pStyle w:val="ListParagraph"/>
        <w:spacing w:after="0" w:line="240" w:lineRule="auto"/>
        <w:ind w:left="1080"/>
        <w:rPr>
          <w:rFonts w:ascii="Times New Roman" w:hAnsi="Times New Roman"/>
          <w:b/>
          <w:sz w:val="24"/>
          <w:szCs w:val="24"/>
        </w:rPr>
      </w:pPr>
      <w:r>
        <w:rPr>
          <w:rFonts w:ascii="Times New Roman" w:hAnsi="Times New Roman"/>
          <w:b/>
          <w:sz w:val="24"/>
          <w:szCs w:val="24"/>
        </w:rPr>
        <w:t>A Chart Illustration of an Example of Renewable Term Insurance</w:t>
      </w:r>
    </w:p>
    <w:p w:rsidR="007F4810" w:rsidRDefault="007F4810" w:rsidP="00300C35">
      <w:pPr>
        <w:pStyle w:val="ListParagraph"/>
        <w:spacing w:after="0" w:line="240" w:lineRule="auto"/>
        <w:ind w:left="1080"/>
        <w:rPr>
          <w:rFonts w:ascii="Times New Roman" w:hAnsi="Times New Roman"/>
          <w:b/>
          <w:sz w:val="24"/>
          <w:szCs w:val="24"/>
        </w:rPr>
      </w:pPr>
    </w:p>
    <w:p w:rsidR="00300C35" w:rsidRDefault="00A636F7" w:rsidP="00A636F7">
      <w:pPr>
        <w:pStyle w:val="ListParagraph"/>
        <w:spacing w:after="0" w:line="240" w:lineRule="auto"/>
        <w:ind w:left="1080"/>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5292184" cy="2406436"/>
            <wp:effectExtent l="19050" t="0" r="3716"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294145" cy="2407328"/>
                    </a:xfrm>
                    <a:prstGeom prst="rect">
                      <a:avLst/>
                    </a:prstGeom>
                    <a:noFill/>
                    <a:ln w="9525">
                      <a:noFill/>
                      <a:miter lim="800000"/>
                      <a:headEnd/>
                      <a:tailEnd/>
                    </a:ln>
                  </pic:spPr>
                </pic:pic>
              </a:graphicData>
            </a:graphic>
          </wp:inline>
        </w:drawing>
      </w:r>
    </w:p>
    <w:p w:rsidR="00A636F7" w:rsidRDefault="00A636F7" w:rsidP="0034164B">
      <w:pPr>
        <w:pStyle w:val="ListParagraph"/>
        <w:spacing w:after="0" w:line="240" w:lineRule="auto"/>
        <w:ind w:left="1080"/>
        <w:jc w:val="center"/>
        <w:rPr>
          <w:rFonts w:ascii="Times New Roman" w:hAnsi="Times New Roman"/>
          <w:b/>
          <w:sz w:val="24"/>
          <w:szCs w:val="24"/>
          <w:u w:val="single"/>
        </w:rPr>
      </w:pPr>
    </w:p>
    <w:p w:rsidR="00A636F7" w:rsidRPr="000D0C33" w:rsidRDefault="00A636F7" w:rsidP="000D0C33">
      <w:pPr>
        <w:pStyle w:val="ListParagraph"/>
        <w:spacing w:after="0" w:line="240" w:lineRule="auto"/>
        <w:ind w:left="1080"/>
        <w:rPr>
          <w:rFonts w:ascii="Times New Roman" w:hAnsi="Times New Roman"/>
          <w:b/>
          <w:sz w:val="24"/>
          <w:szCs w:val="24"/>
        </w:rPr>
      </w:pPr>
    </w:p>
    <w:p w:rsidR="00A636F7" w:rsidRDefault="000D0C33" w:rsidP="000D0C33">
      <w:pPr>
        <w:pStyle w:val="ListParagraph"/>
        <w:spacing w:after="0" w:line="240" w:lineRule="auto"/>
        <w:ind w:left="1080"/>
        <w:rPr>
          <w:rFonts w:ascii="Times New Roman" w:hAnsi="Times New Roman"/>
          <w:b/>
          <w:sz w:val="24"/>
          <w:szCs w:val="24"/>
        </w:rPr>
      </w:pPr>
      <w:proofErr w:type="gramStart"/>
      <w:r>
        <w:rPr>
          <w:rFonts w:ascii="Times New Roman" w:hAnsi="Times New Roman"/>
          <w:b/>
          <w:sz w:val="24"/>
          <w:szCs w:val="24"/>
        </w:rPr>
        <w:t>Chart 3.</w:t>
      </w:r>
      <w:proofErr w:type="gramEnd"/>
    </w:p>
    <w:p w:rsidR="000D0C33" w:rsidRDefault="000D0C33" w:rsidP="000D0C33">
      <w:pPr>
        <w:pStyle w:val="ListParagraph"/>
        <w:spacing w:after="0" w:line="240" w:lineRule="auto"/>
        <w:ind w:left="1080"/>
        <w:rPr>
          <w:rFonts w:ascii="Times New Roman" w:hAnsi="Times New Roman"/>
          <w:b/>
          <w:sz w:val="24"/>
          <w:szCs w:val="24"/>
        </w:rPr>
      </w:pPr>
      <w:r>
        <w:rPr>
          <w:rFonts w:ascii="Times New Roman" w:hAnsi="Times New Roman"/>
          <w:b/>
          <w:sz w:val="24"/>
          <w:szCs w:val="24"/>
        </w:rPr>
        <w:t xml:space="preserve">A Chart Illustration of an Example of Traditional Cash Value Insurance </w:t>
      </w:r>
    </w:p>
    <w:p w:rsidR="000D0C33" w:rsidRDefault="000D0C33" w:rsidP="000D0C33">
      <w:pPr>
        <w:pStyle w:val="ListParagraph"/>
        <w:spacing w:after="0" w:line="240" w:lineRule="auto"/>
        <w:ind w:left="1080"/>
        <w:rPr>
          <w:rFonts w:ascii="Times New Roman" w:hAnsi="Times New Roman"/>
          <w:b/>
          <w:sz w:val="24"/>
          <w:szCs w:val="24"/>
        </w:rPr>
      </w:pPr>
    </w:p>
    <w:p w:rsidR="000D0C33" w:rsidRPr="000D0C33" w:rsidRDefault="000D0C33" w:rsidP="000D0C33">
      <w:pPr>
        <w:pStyle w:val="ListParagraph"/>
        <w:spacing w:after="0" w:line="240" w:lineRule="auto"/>
        <w:ind w:left="1080"/>
        <w:rPr>
          <w:rFonts w:ascii="Times New Roman" w:hAnsi="Times New Roman"/>
          <w:b/>
          <w:sz w:val="24"/>
          <w:szCs w:val="24"/>
        </w:rPr>
      </w:pPr>
      <w:r>
        <w:rPr>
          <w:rFonts w:ascii="Times New Roman" w:hAnsi="Times New Roman"/>
          <w:b/>
          <w:noProof/>
          <w:sz w:val="24"/>
          <w:szCs w:val="24"/>
        </w:rPr>
        <w:drawing>
          <wp:inline distT="0" distB="0" distL="0" distR="0">
            <wp:extent cx="5400675" cy="2823795"/>
            <wp:effectExtent l="19050" t="0" r="9525"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405054" cy="2826084"/>
                    </a:xfrm>
                    <a:prstGeom prst="rect">
                      <a:avLst/>
                    </a:prstGeom>
                    <a:noFill/>
                    <a:ln w="9525">
                      <a:noFill/>
                      <a:miter lim="800000"/>
                      <a:headEnd/>
                      <a:tailEnd/>
                    </a:ln>
                  </pic:spPr>
                </pic:pic>
              </a:graphicData>
            </a:graphic>
          </wp:inline>
        </w:drawing>
      </w:r>
    </w:p>
    <w:p w:rsidR="00A636F7" w:rsidRPr="000D0C33" w:rsidRDefault="00A636F7" w:rsidP="000D0C33">
      <w:pPr>
        <w:pStyle w:val="ListParagraph"/>
        <w:spacing w:after="0" w:line="240" w:lineRule="auto"/>
        <w:ind w:left="1080"/>
        <w:rPr>
          <w:rFonts w:ascii="Times New Roman" w:hAnsi="Times New Roman"/>
          <w:b/>
          <w:sz w:val="24"/>
          <w:szCs w:val="24"/>
        </w:rPr>
      </w:pPr>
    </w:p>
    <w:p w:rsidR="00A636F7" w:rsidRPr="000D0C33" w:rsidRDefault="00A636F7" w:rsidP="000D0C33">
      <w:pPr>
        <w:pStyle w:val="ListParagraph"/>
        <w:spacing w:after="0" w:line="240" w:lineRule="auto"/>
        <w:ind w:left="1080"/>
        <w:rPr>
          <w:rFonts w:ascii="Times New Roman" w:hAnsi="Times New Roman"/>
          <w:b/>
          <w:sz w:val="24"/>
          <w:szCs w:val="24"/>
        </w:rPr>
      </w:pPr>
    </w:p>
    <w:p w:rsidR="00A636F7" w:rsidRPr="000D0C33" w:rsidRDefault="00A636F7" w:rsidP="000D0C33">
      <w:pPr>
        <w:pStyle w:val="ListParagraph"/>
        <w:spacing w:after="0" w:line="240" w:lineRule="auto"/>
        <w:ind w:left="1080"/>
        <w:rPr>
          <w:rFonts w:ascii="Times New Roman" w:hAnsi="Times New Roman"/>
          <w:b/>
          <w:sz w:val="24"/>
          <w:szCs w:val="24"/>
        </w:rPr>
      </w:pPr>
    </w:p>
    <w:p w:rsidR="00A636F7" w:rsidRPr="000D0C33" w:rsidRDefault="00A636F7" w:rsidP="000D0C33">
      <w:pPr>
        <w:pStyle w:val="ListParagraph"/>
        <w:spacing w:after="0" w:line="240" w:lineRule="auto"/>
        <w:ind w:left="1080"/>
        <w:rPr>
          <w:rFonts w:ascii="Times New Roman" w:hAnsi="Times New Roman"/>
          <w:b/>
          <w:sz w:val="24"/>
          <w:szCs w:val="24"/>
        </w:rPr>
      </w:pPr>
    </w:p>
    <w:p w:rsidR="00A636F7" w:rsidRPr="000D0C33" w:rsidRDefault="00A636F7" w:rsidP="000D0C33">
      <w:pPr>
        <w:pStyle w:val="ListParagraph"/>
        <w:spacing w:after="0" w:line="240" w:lineRule="auto"/>
        <w:ind w:left="1080"/>
        <w:rPr>
          <w:rFonts w:ascii="Times New Roman" w:hAnsi="Times New Roman"/>
          <w:b/>
          <w:sz w:val="24"/>
          <w:szCs w:val="24"/>
        </w:rPr>
      </w:pPr>
    </w:p>
    <w:p w:rsidR="00A636F7" w:rsidRPr="000D0C33" w:rsidRDefault="00A636F7" w:rsidP="000D0C33">
      <w:pPr>
        <w:pStyle w:val="ListParagraph"/>
        <w:spacing w:after="0" w:line="240" w:lineRule="auto"/>
        <w:ind w:left="1080"/>
        <w:rPr>
          <w:rFonts w:ascii="Times New Roman" w:hAnsi="Times New Roman"/>
          <w:b/>
          <w:sz w:val="24"/>
          <w:szCs w:val="24"/>
        </w:rPr>
      </w:pPr>
    </w:p>
    <w:p w:rsidR="00DF0D39" w:rsidRDefault="00DF0D39" w:rsidP="00DF0D39">
      <w:pPr>
        <w:spacing w:after="0" w:line="240" w:lineRule="auto"/>
        <w:rPr>
          <w:rFonts w:ascii="Times New Roman" w:hAnsi="Times New Roman"/>
          <w:b/>
          <w:sz w:val="24"/>
          <w:szCs w:val="24"/>
        </w:rPr>
      </w:pPr>
    </w:p>
    <w:p w:rsidR="00D16A92" w:rsidRDefault="00D16A92" w:rsidP="00DF0D39">
      <w:pPr>
        <w:spacing w:after="0" w:line="240" w:lineRule="auto"/>
        <w:ind w:firstLine="720"/>
        <w:rPr>
          <w:rFonts w:ascii="Times New Roman" w:hAnsi="Times New Roman"/>
          <w:b/>
          <w:sz w:val="24"/>
          <w:szCs w:val="24"/>
        </w:rPr>
      </w:pPr>
      <w:proofErr w:type="gramStart"/>
      <w:r>
        <w:rPr>
          <w:rFonts w:ascii="Times New Roman" w:hAnsi="Times New Roman"/>
          <w:b/>
          <w:sz w:val="24"/>
          <w:szCs w:val="24"/>
        </w:rPr>
        <w:lastRenderedPageBreak/>
        <w:t>Chart 4.</w:t>
      </w:r>
      <w:proofErr w:type="gramEnd"/>
    </w:p>
    <w:p w:rsidR="001A1B87" w:rsidRDefault="001A1B87" w:rsidP="00DF0D39">
      <w:pPr>
        <w:spacing w:after="0" w:line="240" w:lineRule="auto"/>
        <w:ind w:firstLine="720"/>
        <w:rPr>
          <w:rFonts w:ascii="Times New Roman" w:hAnsi="Times New Roman"/>
          <w:b/>
          <w:sz w:val="24"/>
          <w:szCs w:val="24"/>
        </w:rPr>
      </w:pPr>
      <w:r>
        <w:rPr>
          <w:rFonts w:ascii="Times New Roman" w:hAnsi="Times New Roman"/>
          <w:b/>
          <w:sz w:val="24"/>
          <w:szCs w:val="24"/>
        </w:rPr>
        <w:t>A Chart Illustration of an Example of Universal Insurance (One Mode)</w:t>
      </w:r>
    </w:p>
    <w:p w:rsidR="001A1B87" w:rsidRDefault="001A1B87" w:rsidP="00DF0D39">
      <w:pPr>
        <w:spacing w:after="0" w:line="240" w:lineRule="auto"/>
        <w:ind w:firstLine="720"/>
        <w:rPr>
          <w:rFonts w:ascii="Times New Roman" w:hAnsi="Times New Roman"/>
          <w:b/>
          <w:sz w:val="24"/>
          <w:szCs w:val="24"/>
        </w:rPr>
      </w:pPr>
    </w:p>
    <w:p w:rsidR="00DF0D39" w:rsidRDefault="001A1B87" w:rsidP="00DF0D39">
      <w:pPr>
        <w:spacing w:after="0" w:line="240" w:lineRule="auto"/>
        <w:ind w:firstLine="720"/>
        <w:rPr>
          <w:rFonts w:ascii="Times New Roman" w:hAnsi="Times New Roman"/>
          <w:b/>
          <w:sz w:val="24"/>
          <w:szCs w:val="24"/>
        </w:rPr>
      </w:pPr>
      <w:r>
        <w:rPr>
          <w:rFonts w:ascii="Times New Roman" w:hAnsi="Times New Roman"/>
          <w:b/>
          <w:noProof/>
          <w:sz w:val="24"/>
          <w:szCs w:val="24"/>
        </w:rPr>
        <w:drawing>
          <wp:inline distT="0" distB="0" distL="0" distR="0">
            <wp:extent cx="5276850" cy="275378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276850" cy="2753780"/>
                    </a:xfrm>
                    <a:prstGeom prst="rect">
                      <a:avLst/>
                    </a:prstGeom>
                    <a:noFill/>
                    <a:ln w="9525">
                      <a:noFill/>
                      <a:miter lim="800000"/>
                      <a:headEnd/>
                      <a:tailEnd/>
                    </a:ln>
                  </pic:spPr>
                </pic:pic>
              </a:graphicData>
            </a:graphic>
          </wp:inline>
        </w:drawing>
      </w:r>
    </w:p>
    <w:p w:rsidR="00DF0D39" w:rsidRDefault="00DF0D39" w:rsidP="00DF0D39">
      <w:pPr>
        <w:spacing w:after="0" w:line="240" w:lineRule="auto"/>
        <w:ind w:left="720"/>
        <w:rPr>
          <w:rFonts w:ascii="Times New Roman" w:hAnsi="Times New Roman"/>
          <w:b/>
          <w:sz w:val="24"/>
          <w:szCs w:val="24"/>
        </w:rPr>
      </w:pPr>
      <w:r>
        <w:rPr>
          <w:rFonts w:ascii="Times New Roman" w:hAnsi="Times New Roman"/>
          <w:b/>
          <w:sz w:val="24"/>
          <w:szCs w:val="24"/>
        </w:rPr>
        <w:tab/>
      </w:r>
    </w:p>
    <w:p w:rsidR="00D16A92" w:rsidRDefault="00D16A92" w:rsidP="00D16A92">
      <w:pPr>
        <w:spacing w:after="0" w:line="240" w:lineRule="auto"/>
        <w:rPr>
          <w:rFonts w:ascii="Times New Roman" w:hAnsi="Times New Roman"/>
          <w:b/>
          <w:sz w:val="24"/>
          <w:szCs w:val="24"/>
        </w:rPr>
      </w:pPr>
    </w:p>
    <w:p w:rsidR="001A1B87" w:rsidRDefault="001A1B87" w:rsidP="00D16A92">
      <w:pPr>
        <w:spacing w:after="0" w:line="240" w:lineRule="auto"/>
        <w:rPr>
          <w:rFonts w:ascii="Times New Roman" w:hAnsi="Times New Roman"/>
          <w:b/>
          <w:sz w:val="24"/>
          <w:szCs w:val="24"/>
        </w:rPr>
      </w:pPr>
      <w:r>
        <w:rPr>
          <w:rFonts w:ascii="Times New Roman" w:hAnsi="Times New Roman"/>
          <w:b/>
          <w:sz w:val="24"/>
          <w:szCs w:val="24"/>
        </w:rPr>
        <w:tab/>
      </w:r>
      <w:proofErr w:type="gramStart"/>
      <w:r>
        <w:rPr>
          <w:rFonts w:ascii="Times New Roman" w:hAnsi="Times New Roman"/>
          <w:b/>
          <w:sz w:val="24"/>
          <w:szCs w:val="24"/>
        </w:rPr>
        <w:t>Chart 5.</w:t>
      </w:r>
      <w:proofErr w:type="gramEnd"/>
    </w:p>
    <w:p w:rsidR="0079457A" w:rsidRDefault="0079457A" w:rsidP="00D16A92">
      <w:pPr>
        <w:spacing w:after="0" w:line="240" w:lineRule="auto"/>
        <w:rPr>
          <w:rFonts w:ascii="Times New Roman" w:hAnsi="Times New Roman"/>
          <w:b/>
          <w:sz w:val="24"/>
          <w:szCs w:val="24"/>
        </w:rPr>
      </w:pPr>
      <w:r>
        <w:rPr>
          <w:rFonts w:ascii="Times New Roman" w:hAnsi="Times New Roman"/>
          <w:b/>
          <w:sz w:val="24"/>
          <w:szCs w:val="24"/>
        </w:rPr>
        <w:tab/>
        <w:t xml:space="preserve">Illustration of Maximum Premiums and Values </w:t>
      </w:r>
      <w:proofErr w:type="gramStart"/>
      <w:r>
        <w:rPr>
          <w:rFonts w:ascii="Times New Roman" w:hAnsi="Times New Roman"/>
          <w:b/>
          <w:sz w:val="24"/>
          <w:szCs w:val="24"/>
        </w:rPr>
        <w:t>For</w:t>
      </w:r>
      <w:proofErr w:type="gramEnd"/>
      <w:r>
        <w:rPr>
          <w:rFonts w:ascii="Times New Roman" w:hAnsi="Times New Roman"/>
          <w:b/>
          <w:sz w:val="24"/>
          <w:szCs w:val="24"/>
        </w:rPr>
        <w:t xml:space="preserve"> A $2 Million Policy of the Life of a 46 Year Old to Maintain Its Status as a Life Insurance Contract for Tax Purposes</w:t>
      </w:r>
    </w:p>
    <w:p w:rsidR="001A1B87" w:rsidRPr="00D16A92" w:rsidRDefault="001A1B87" w:rsidP="00D16A92">
      <w:pPr>
        <w:spacing w:after="0" w:line="240" w:lineRule="auto"/>
        <w:rPr>
          <w:rFonts w:ascii="Times New Roman" w:hAnsi="Times New Roman"/>
          <w:b/>
          <w:sz w:val="24"/>
          <w:szCs w:val="24"/>
        </w:rPr>
      </w:pPr>
      <w:r>
        <w:rPr>
          <w:rFonts w:ascii="Times New Roman" w:hAnsi="Times New Roman"/>
          <w:b/>
          <w:sz w:val="24"/>
          <w:szCs w:val="24"/>
        </w:rPr>
        <w:tab/>
      </w:r>
      <w:r w:rsidR="0079457A">
        <w:rPr>
          <w:rFonts w:ascii="Times New Roman" w:hAnsi="Times New Roman"/>
          <w:b/>
          <w:noProof/>
          <w:sz w:val="24"/>
          <w:szCs w:val="24"/>
        </w:rPr>
        <w:drawing>
          <wp:inline distT="0" distB="0" distL="0" distR="0">
            <wp:extent cx="5943600" cy="3756599"/>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943600" cy="3756599"/>
                    </a:xfrm>
                    <a:prstGeom prst="rect">
                      <a:avLst/>
                    </a:prstGeom>
                    <a:noFill/>
                    <a:ln w="9525">
                      <a:noFill/>
                      <a:miter lim="800000"/>
                      <a:headEnd/>
                      <a:tailEnd/>
                    </a:ln>
                  </pic:spPr>
                </pic:pic>
              </a:graphicData>
            </a:graphic>
          </wp:inline>
        </w:drawing>
      </w:r>
    </w:p>
    <w:p w:rsidR="00A636F7" w:rsidRDefault="009A23D5" w:rsidP="000D0C33">
      <w:pPr>
        <w:pStyle w:val="ListParagraph"/>
        <w:spacing w:after="0" w:line="240" w:lineRule="auto"/>
        <w:ind w:left="1080"/>
        <w:rPr>
          <w:rFonts w:ascii="Times New Roman" w:hAnsi="Times New Roman"/>
          <w:b/>
          <w:sz w:val="24"/>
          <w:szCs w:val="24"/>
        </w:rPr>
      </w:pPr>
      <w:proofErr w:type="gramStart"/>
      <w:r>
        <w:rPr>
          <w:rFonts w:ascii="Times New Roman" w:hAnsi="Times New Roman"/>
          <w:b/>
          <w:sz w:val="24"/>
          <w:szCs w:val="24"/>
        </w:rPr>
        <w:lastRenderedPageBreak/>
        <w:t>Chart 6.</w:t>
      </w:r>
      <w:proofErr w:type="gramEnd"/>
    </w:p>
    <w:p w:rsidR="009F38E8" w:rsidRDefault="009F38E8" w:rsidP="000D0C33">
      <w:pPr>
        <w:pStyle w:val="ListParagraph"/>
        <w:spacing w:after="0" w:line="240" w:lineRule="auto"/>
        <w:ind w:left="1080"/>
        <w:rPr>
          <w:rFonts w:ascii="Times New Roman" w:hAnsi="Times New Roman"/>
          <w:b/>
          <w:sz w:val="24"/>
          <w:szCs w:val="24"/>
        </w:rPr>
      </w:pPr>
      <w:r>
        <w:rPr>
          <w:rFonts w:ascii="Times New Roman" w:hAnsi="Times New Roman"/>
          <w:b/>
          <w:sz w:val="24"/>
          <w:szCs w:val="24"/>
        </w:rPr>
        <w:t xml:space="preserve">Illustration of Paying for the Term Insurance Element </w:t>
      </w:r>
      <w:proofErr w:type="gramStart"/>
      <w:r>
        <w:rPr>
          <w:rFonts w:ascii="Times New Roman" w:hAnsi="Times New Roman"/>
          <w:b/>
          <w:sz w:val="24"/>
          <w:szCs w:val="24"/>
        </w:rPr>
        <w:t>With</w:t>
      </w:r>
      <w:proofErr w:type="gramEnd"/>
      <w:r>
        <w:rPr>
          <w:rFonts w:ascii="Times New Roman" w:hAnsi="Times New Roman"/>
          <w:b/>
          <w:sz w:val="24"/>
          <w:szCs w:val="24"/>
        </w:rPr>
        <w:t xml:space="preserve"> Pre-Tax Policy Earnings</w:t>
      </w:r>
    </w:p>
    <w:p w:rsidR="009A23D5" w:rsidRPr="000D0C33" w:rsidRDefault="009F38E8" w:rsidP="000D0C33">
      <w:pPr>
        <w:pStyle w:val="ListParagraph"/>
        <w:spacing w:after="0" w:line="240" w:lineRule="auto"/>
        <w:ind w:left="1080"/>
        <w:rPr>
          <w:rFonts w:ascii="Times New Roman" w:hAnsi="Times New Roman"/>
          <w:b/>
          <w:sz w:val="24"/>
          <w:szCs w:val="24"/>
        </w:rPr>
      </w:pPr>
      <w:r>
        <w:rPr>
          <w:rFonts w:ascii="Times New Roman" w:hAnsi="Times New Roman"/>
          <w:b/>
          <w:noProof/>
          <w:sz w:val="24"/>
          <w:szCs w:val="24"/>
        </w:rPr>
        <w:drawing>
          <wp:inline distT="0" distB="0" distL="0" distR="0">
            <wp:extent cx="5257800" cy="4382334"/>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258801" cy="4383168"/>
                    </a:xfrm>
                    <a:prstGeom prst="rect">
                      <a:avLst/>
                    </a:prstGeom>
                    <a:noFill/>
                    <a:ln w="9525">
                      <a:noFill/>
                      <a:miter lim="800000"/>
                      <a:headEnd/>
                      <a:tailEnd/>
                    </a:ln>
                  </pic:spPr>
                </pic:pic>
              </a:graphicData>
            </a:graphic>
          </wp:inline>
        </w:drawing>
      </w:r>
    </w:p>
    <w:p w:rsidR="00A636F7" w:rsidRPr="000D0C33" w:rsidRDefault="00A636F7" w:rsidP="000D0C33">
      <w:pPr>
        <w:pStyle w:val="ListParagraph"/>
        <w:spacing w:after="0" w:line="240" w:lineRule="auto"/>
        <w:ind w:left="1080"/>
        <w:rPr>
          <w:rFonts w:ascii="Times New Roman" w:hAnsi="Times New Roman"/>
          <w:b/>
          <w:sz w:val="24"/>
          <w:szCs w:val="24"/>
        </w:rPr>
      </w:pPr>
    </w:p>
    <w:p w:rsidR="00A636F7" w:rsidRDefault="00A636F7"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0D0C33">
      <w:pPr>
        <w:pStyle w:val="ListParagraph"/>
        <w:spacing w:after="0" w:line="240" w:lineRule="auto"/>
        <w:ind w:left="1080"/>
        <w:rPr>
          <w:rFonts w:ascii="Times New Roman" w:hAnsi="Times New Roman"/>
          <w:b/>
          <w:sz w:val="24"/>
          <w:szCs w:val="24"/>
        </w:rPr>
      </w:pPr>
    </w:p>
    <w:p w:rsidR="001E4E4D" w:rsidRDefault="001E4E4D" w:rsidP="001E4E4D">
      <w:pPr>
        <w:pStyle w:val="ListParagraph"/>
        <w:spacing w:after="0" w:line="240" w:lineRule="auto"/>
        <w:ind w:left="1080"/>
        <w:rPr>
          <w:rFonts w:ascii="Times New Roman" w:hAnsi="Times New Roman"/>
          <w:b/>
          <w:sz w:val="24"/>
          <w:szCs w:val="24"/>
        </w:rPr>
      </w:pPr>
      <w:proofErr w:type="gramStart"/>
      <w:r>
        <w:rPr>
          <w:rFonts w:ascii="Times New Roman" w:hAnsi="Times New Roman"/>
          <w:b/>
          <w:sz w:val="24"/>
          <w:szCs w:val="24"/>
        </w:rPr>
        <w:lastRenderedPageBreak/>
        <w:t>Chart 7.</w:t>
      </w:r>
      <w:proofErr w:type="gramEnd"/>
    </w:p>
    <w:p w:rsidR="001E4E4D" w:rsidRDefault="001E4E4D" w:rsidP="001E4E4D">
      <w:pPr>
        <w:pStyle w:val="ListParagraph"/>
        <w:spacing w:after="0" w:line="240" w:lineRule="auto"/>
        <w:ind w:left="1080"/>
        <w:rPr>
          <w:rFonts w:ascii="Times New Roman" w:hAnsi="Times New Roman"/>
          <w:b/>
          <w:sz w:val="24"/>
          <w:szCs w:val="24"/>
        </w:rPr>
      </w:pPr>
      <w:r>
        <w:rPr>
          <w:rFonts w:ascii="Times New Roman" w:hAnsi="Times New Roman"/>
          <w:b/>
          <w:sz w:val="24"/>
          <w:szCs w:val="24"/>
        </w:rPr>
        <w:t>The Effect of Compounding</w:t>
      </w:r>
    </w:p>
    <w:p w:rsidR="001E4E4D" w:rsidRDefault="001E4E4D" w:rsidP="001E4E4D">
      <w:pPr>
        <w:pStyle w:val="ListParagraph"/>
        <w:spacing w:after="0" w:line="240" w:lineRule="auto"/>
        <w:ind w:left="1080"/>
        <w:rPr>
          <w:rFonts w:ascii="Times New Roman" w:hAnsi="Times New Roman"/>
          <w:b/>
          <w:sz w:val="24"/>
          <w:szCs w:val="24"/>
        </w:rPr>
      </w:pPr>
      <w:r>
        <w:rPr>
          <w:rFonts w:ascii="Times New Roman" w:hAnsi="Times New Roman"/>
          <w:b/>
          <w:sz w:val="24"/>
          <w:szCs w:val="24"/>
        </w:rPr>
        <w:t xml:space="preserve">$100,000 invested using a Taxable 10% </w:t>
      </w:r>
      <w:proofErr w:type="gramStart"/>
      <w:r>
        <w:rPr>
          <w:rFonts w:ascii="Times New Roman" w:hAnsi="Times New Roman"/>
          <w:b/>
          <w:sz w:val="24"/>
          <w:szCs w:val="24"/>
        </w:rPr>
        <w:t>rate,</w:t>
      </w:r>
      <w:proofErr w:type="gramEnd"/>
      <w:r>
        <w:rPr>
          <w:rFonts w:ascii="Times New Roman" w:hAnsi="Times New Roman"/>
          <w:b/>
          <w:sz w:val="24"/>
          <w:szCs w:val="24"/>
        </w:rPr>
        <w:t xml:space="preserve"> the assumer income tax rate is 40%</w:t>
      </w:r>
    </w:p>
    <w:p w:rsidR="001E4E4D" w:rsidRPr="000D0C33" w:rsidRDefault="001E4E4D" w:rsidP="000D0C33">
      <w:pPr>
        <w:pStyle w:val="ListParagraph"/>
        <w:spacing w:after="0" w:line="240" w:lineRule="auto"/>
        <w:ind w:left="1080"/>
        <w:rPr>
          <w:rFonts w:ascii="Times New Roman" w:hAnsi="Times New Roman"/>
          <w:b/>
          <w:sz w:val="24"/>
          <w:szCs w:val="24"/>
        </w:rPr>
      </w:pPr>
    </w:p>
    <w:p w:rsidR="005077E9" w:rsidRPr="009A7D14" w:rsidRDefault="007A6F70" w:rsidP="009A7D14">
      <w:pPr>
        <w:spacing w:after="0" w:line="240" w:lineRule="auto"/>
        <w:rPr>
          <w:rFonts w:ascii="Times New Roman" w:hAnsi="Times New Roman"/>
          <w:b/>
          <w:sz w:val="24"/>
          <w:szCs w:val="24"/>
        </w:rPr>
      </w:pPr>
      <w:r>
        <w:rPr>
          <w:rFonts w:ascii="Times New Roman" w:hAnsi="Times New Roman"/>
          <w:b/>
          <w:sz w:val="24"/>
          <w:szCs w:val="24"/>
        </w:rPr>
      </w:r>
      <w:r>
        <w:rPr>
          <w:rFonts w:ascii="Times New Roman" w:hAnsi="Times New Roman"/>
          <w:b/>
          <w:sz w:val="24"/>
          <w:szCs w:val="24"/>
        </w:rPr>
        <w:pict>
          <v:group id="_x0000_s1028" editas="canvas" style="width:468pt;height:312.75pt;mso-position-horizontal-relative:char;mso-position-vertical-relative:line" coordsize="9360,625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360;height:6255" o:preferrelative="f">
              <v:fill o:detectmouseclick="t"/>
              <v:path o:extrusionok="t" o:connecttype="none"/>
              <o:lock v:ext="edit" text="t"/>
            </v:shape>
            <v:shape id="_x0000_s1029" type="#_x0000_t75" style="position:absolute;width:9367;height:6262">
              <v:imagedata r:id="rId13" o:title=""/>
            </v:shape>
            <w10:wrap type="none"/>
            <w10:anchorlock/>
          </v:group>
        </w:pict>
      </w:r>
    </w:p>
    <w:p w:rsidR="005077E9" w:rsidRDefault="005077E9"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FC0093" w:rsidRDefault="00FC0093" w:rsidP="000D0C33">
      <w:pPr>
        <w:pStyle w:val="ListParagraph"/>
        <w:spacing w:after="0" w:line="240" w:lineRule="auto"/>
        <w:ind w:left="1080"/>
        <w:rPr>
          <w:rFonts w:ascii="Times New Roman" w:hAnsi="Times New Roman"/>
          <w:b/>
          <w:sz w:val="24"/>
          <w:szCs w:val="24"/>
        </w:rPr>
      </w:pPr>
    </w:p>
    <w:p w:rsidR="005077E9" w:rsidRPr="000D0C33" w:rsidRDefault="005077E9" w:rsidP="000D0C33">
      <w:pPr>
        <w:pStyle w:val="ListParagraph"/>
        <w:spacing w:after="0" w:line="240" w:lineRule="auto"/>
        <w:ind w:left="1080"/>
        <w:rPr>
          <w:rFonts w:ascii="Times New Roman" w:hAnsi="Times New Roman"/>
          <w:b/>
          <w:sz w:val="24"/>
          <w:szCs w:val="24"/>
        </w:rPr>
      </w:pPr>
    </w:p>
    <w:p w:rsidR="00FC0093" w:rsidRDefault="005142EF" w:rsidP="00FC0093">
      <w:pPr>
        <w:spacing w:after="0" w:line="240" w:lineRule="auto"/>
        <w:rPr>
          <w:rFonts w:ascii="Times New Roman" w:hAnsi="Times New Roman"/>
          <w:b/>
          <w:sz w:val="24"/>
          <w:szCs w:val="24"/>
        </w:rPr>
      </w:pPr>
      <w:proofErr w:type="gramStart"/>
      <w:r w:rsidRPr="00FC0093">
        <w:rPr>
          <w:rFonts w:ascii="Times New Roman" w:hAnsi="Times New Roman"/>
          <w:b/>
          <w:sz w:val="24"/>
          <w:szCs w:val="24"/>
        </w:rPr>
        <w:lastRenderedPageBreak/>
        <w:t>Chart 8.</w:t>
      </w:r>
      <w:proofErr w:type="gramEnd"/>
    </w:p>
    <w:p w:rsidR="00FC0093" w:rsidRDefault="00514044" w:rsidP="00FC0093">
      <w:pPr>
        <w:spacing w:after="0" w:line="240" w:lineRule="auto"/>
        <w:rPr>
          <w:rFonts w:ascii="Times New Roman" w:hAnsi="Times New Roman"/>
          <w:b/>
          <w:sz w:val="24"/>
          <w:szCs w:val="24"/>
        </w:rPr>
      </w:pPr>
      <w:r>
        <w:rPr>
          <w:rFonts w:ascii="Times New Roman" w:hAnsi="Times New Roman"/>
          <w:b/>
          <w:sz w:val="24"/>
          <w:szCs w:val="24"/>
        </w:rPr>
        <w:t>Effective Saving Through Compounding</w:t>
      </w:r>
    </w:p>
    <w:p w:rsidR="00D76217" w:rsidRDefault="00D76217" w:rsidP="00FC0093">
      <w:pPr>
        <w:spacing w:after="0" w:line="240" w:lineRule="auto"/>
        <w:rPr>
          <w:rFonts w:ascii="Times New Roman" w:hAnsi="Times New Roman"/>
          <w:b/>
          <w:sz w:val="24"/>
          <w:szCs w:val="24"/>
        </w:rPr>
      </w:pPr>
    </w:p>
    <w:p w:rsidR="005142EF" w:rsidRPr="00FC0093" w:rsidRDefault="00FC0093" w:rsidP="00FC0093">
      <w:pPr>
        <w:spacing w:after="0" w:line="240" w:lineRule="auto"/>
        <w:rPr>
          <w:rFonts w:ascii="Times New Roman" w:hAnsi="Times New Roman"/>
          <w:b/>
          <w:sz w:val="24"/>
          <w:szCs w:val="24"/>
        </w:rPr>
      </w:pPr>
      <w:r>
        <w:rPr>
          <w:noProof/>
        </w:rPr>
        <w:drawing>
          <wp:inline distT="0" distB="0" distL="0" distR="0">
            <wp:extent cx="6301153" cy="4067175"/>
            <wp:effectExtent l="19050" t="0" r="4397"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302477" cy="4068030"/>
                    </a:xfrm>
                    <a:prstGeom prst="rect">
                      <a:avLst/>
                    </a:prstGeom>
                    <a:noFill/>
                    <a:ln w="9525">
                      <a:noFill/>
                      <a:miter lim="800000"/>
                      <a:headEnd/>
                      <a:tailEnd/>
                    </a:ln>
                  </pic:spPr>
                </pic:pic>
              </a:graphicData>
            </a:graphic>
          </wp:inline>
        </w:drawing>
      </w:r>
    </w:p>
    <w:p w:rsidR="00B95C5A" w:rsidRDefault="00B95C5A" w:rsidP="00B95C5A">
      <w:pPr>
        <w:spacing w:after="0" w:line="240" w:lineRule="auto"/>
        <w:rPr>
          <w:rFonts w:ascii="Times New Roman" w:hAnsi="Times New Roman"/>
          <w:b/>
          <w:sz w:val="24"/>
          <w:szCs w:val="24"/>
        </w:rPr>
      </w:pPr>
    </w:p>
    <w:p w:rsidR="00670529" w:rsidRDefault="00B95C5A" w:rsidP="00B95C5A">
      <w:pPr>
        <w:spacing w:after="0" w:line="240" w:lineRule="auto"/>
        <w:rPr>
          <w:rFonts w:ascii="Times New Roman" w:hAnsi="Times New Roman"/>
          <w:b/>
          <w:sz w:val="24"/>
          <w:szCs w:val="24"/>
        </w:rPr>
      </w:pPr>
      <w:r>
        <w:rPr>
          <w:rFonts w:ascii="Times New Roman" w:hAnsi="Times New Roman"/>
          <w:b/>
          <w:sz w:val="24"/>
          <w:szCs w:val="24"/>
        </w:rPr>
        <w:tab/>
      </w: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B95C5A" w:rsidRDefault="00B95C5A" w:rsidP="00B95C5A">
      <w:pPr>
        <w:spacing w:after="0" w:line="240" w:lineRule="auto"/>
        <w:rPr>
          <w:rFonts w:ascii="Times New Roman" w:hAnsi="Times New Roman"/>
          <w:b/>
          <w:sz w:val="24"/>
          <w:szCs w:val="24"/>
        </w:rPr>
      </w:pPr>
      <w:proofErr w:type="gramStart"/>
      <w:r>
        <w:rPr>
          <w:rFonts w:ascii="Times New Roman" w:hAnsi="Times New Roman"/>
          <w:b/>
          <w:sz w:val="24"/>
          <w:szCs w:val="24"/>
        </w:rPr>
        <w:t>Chart 9.</w:t>
      </w:r>
      <w:proofErr w:type="gramEnd"/>
    </w:p>
    <w:p w:rsidR="00B95C5A" w:rsidRDefault="00B95C5A" w:rsidP="00B95C5A">
      <w:pPr>
        <w:spacing w:after="0" w:line="240" w:lineRule="auto"/>
        <w:rPr>
          <w:rFonts w:ascii="Times New Roman" w:hAnsi="Times New Roman"/>
          <w:b/>
          <w:sz w:val="24"/>
          <w:szCs w:val="24"/>
        </w:rPr>
      </w:pPr>
      <w:r>
        <w:rPr>
          <w:rFonts w:ascii="Times New Roman" w:hAnsi="Times New Roman"/>
          <w:b/>
          <w:sz w:val="24"/>
          <w:szCs w:val="24"/>
        </w:rPr>
        <w:tab/>
      </w:r>
    </w:p>
    <w:p w:rsidR="00670529" w:rsidRDefault="00670529" w:rsidP="00B95C5A">
      <w:pPr>
        <w:spacing w:after="0" w:line="240" w:lineRule="auto"/>
        <w:rPr>
          <w:rFonts w:ascii="Times New Roman" w:hAnsi="Times New Roman"/>
          <w:b/>
          <w:sz w:val="24"/>
          <w:szCs w:val="24"/>
        </w:rPr>
      </w:pPr>
      <w:r>
        <w:rPr>
          <w:rFonts w:ascii="Times New Roman" w:hAnsi="Times New Roman"/>
          <w:b/>
          <w:sz w:val="24"/>
          <w:szCs w:val="24"/>
        </w:rPr>
        <w:tab/>
      </w:r>
      <w:r w:rsidRPr="00670529">
        <w:rPr>
          <w:rFonts w:ascii="Times New Roman" w:hAnsi="Times New Roman"/>
          <w:b/>
          <w:noProof/>
          <w:sz w:val="24"/>
          <w:szCs w:val="24"/>
        </w:rPr>
        <w:drawing>
          <wp:inline distT="0" distB="0" distL="0" distR="0">
            <wp:extent cx="2867025" cy="1057275"/>
            <wp:effectExtent l="0" t="0" r="0" b="0"/>
            <wp:docPr id="16" name="Objec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43200" cy="1143000"/>
                      <a:chOff x="685800" y="4267200"/>
                      <a:chExt cx="2743200" cy="1143000"/>
                    </a:xfrm>
                  </a:grpSpPr>
                  <a:sp>
                    <a:nvSpPr>
                      <a:cNvPr id="54" name="Right Arrow 4"/>
                      <a:cNvSpPr/>
                    </a:nvSpPr>
                    <a:spPr>
                      <a:xfrm>
                        <a:off x="685800" y="4267200"/>
                        <a:ext cx="2743200" cy="1143000"/>
                      </a:xfrm>
                      <a:prstGeom prst="rect">
                        <a:avLst/>
                      </a:prstGeom>
                    </a:spPr>
                    <a:txSp>
                      <a:txBody>
                        <a:bodyPr lIns="24765" tIns="24765" rIns="24765" bIns="24765" spcCol="1270"/>
                        <a:lstStyle>
                          <a:defPPr>
                            <a:defRPr lang="en-US"/>
                          </a:defPPr>
                          <a:lvl1pPr marL="0" algn="l" defTabSz="914400" rtl="0" eaLnBrk="1" latinLnBrk="0" hangingPunct="1">
                            <a:defRPr sz="1800" kern="1200">
                              <a:solidFill>
                                <a:schemeClr val="dk1">
                                  <a:hueOff val="0"/>
                                  <a:satOff val="0"/>
                                  <a:lumOff val="0"/>
                                  <a:alphaOff val="0"/>
                                </a:schemeClr>
                              </a:solidFill>
                              <a:latin typeface="+mn-lt"/>
                              <a:ea typeface="+mn-ea"/>
                              <a:cs typeface="+mn-cs"/>
                            </a:defRPr>
                          </a:lvl1pPr>
                          <a:lvl2pPr marL="457200" algn="l" defTabSz="914400" rtl="0" eaLnBrk="1" latinLnBrk="0" hangingPunct="1">
                            <a:defRPr sz="1800" kern="1200">
                              <a:solidFill>
                                <a:schemeClr val="dk1">
                                  <a:hueOff val="0"/>
                                  <a:satOff val="0"/>
                                  <a:lumOff val="0"/>
                                  <a:alphaOff val="0"/>
                                </a:schemeClr>
                              </a:solidFill>
                              <a:latin typeface="+mn-lt"/>
                              <a:ea typeface="+mn-ea"/>
                              <a:cs typeface="+mn-cs"/>
                            </a:defRPr>
                          </a:lvl2pPr>
                          <a:lvl3pPr marL="914400" algn="l" defTabSz="914400" rtl="0" eaLnBrk="1" latinLnBrk="0" hangingPunct="1">
                            <a:defRPr sz="1800" kern="1200">
                              <a:solidFill>
                                <a:schemeClr val="dk1">
                                  <a:hueOff val="0"/>
                                  <a:satOff val="0"/>
                                  <a:lumOff val="0"/>
                                  <a:alphaOff val="0"/>
                                </a:schemeClr>
                              </a:solidFill>
                              <a:latin typeface="+mn-lt"/>
                              <a:ea typeface="+mn-ea"/>
                              <a:cs typeface="+mn-cs"/>
                            </a:defRPr>
                          </a:lvl3pPr>
                          <a:lvl4pPr marL="1371600" algn="l" defTabSz="914400" rtl="0" eaLnBrk="1" latinLnBrk="0" hangingPunct="1">
                            <a:defRPr sz="1800" kern="1200">
                              <a:solidFill>
                                <a:schemeClr val="dk1">
                                  <a:hueOff val="0"/>
                                  <a:satOff val="0"/>
                                  <a:lumOff val="0"/>
                                  <a:alphaOff val="0"/>
                                </a:schemeClr>
                              </a:solidFill>
                              <a:latin typeface="+mn-lt"/>
                              <a:ea typeface="+mn-ea"/>
                              <a:cs typeface="+mn-cs"/>
                            </a:defRPr>
                          </a:lvl4pPr>
                          <a:lvl5pPr marL="1828800" algn="l" defTabSz="914400" rtl="0" eaLnBrk="1" latinLnBrk="0" hangingPunct="1">
                            <a:defRPr sz="1800" kern="1200">
                              <a:solidFill>
                                <a:schemeClr val="dk1">
                                  <a:hueOff val="0"/>
                                  <a:satOff val="0"/>
                                  <a:lumOff val="0"/>
                                  <a:alphaOff val="0"/>
                                </a:schemeClr>
                              </a:solidFill>
                              <a:latin typeface="+mn-lt"/>
                              <a:ea typeface="+mn-ea"/>
                              <a:cs typeface="+mn-cs"/>
                            </a:defRPr>
                          </a:lvl5pPr>
                          <a:lvl6pPr marL="2286000" algn="l" defTabSz="914400" rtl="0" eaLnBrk="1" latinLnBrk="0" hangingPunct="1">
                            <a:defRPr sz="1800" kern="1200">
                              <a:solidFill>
                                <a:schemeClr val="dk1">
                                  <a:hueOff val="0"/>
                                  <a:satOff val="0"/>
                                  <a:lumOff val="0"/>
                                  <a:alphaOff val="0"/>
                                </a:schemeClr>
                              </a:solidFill>
                              <a:latin typeface="+mn-lt"/>
                              <a:ea typeface="+mn-ea"/>
                              <a:cs typeface="+mn-cs"/>
                            </a:defRPr>
                          </a:lvl6pPr>
                          <a:lvl7pPr marL="2743200" algn="l" defTabSz="914400" rtl="0" eaLnBrk="1" latinLnBrk="0" hangingPunct="1">
                            <a:defRPr sz="1800" kern="1200">
                              <a:solidFill>
                                <a:schemeClr val="dk1">
                                  <a:hueOff val="0"/>
                                  <a:satOff val="0"/>
                                  <a:lumOff val="0"/>
                                  <a:alphaOff val="0"/>
                                </a:schemeClr>
                              </a:solidFill>
                              <a:latin typeface="+mn-lt"/>
                              <a:ea typeface="+mn-ea"/>
                              <a:cs typeface="+mn-cs"/>
                            </a:defRPr>
                          </a:lvl7pPr>
                          <a:lvl8pPr marL="3200400" algn="l" defTabSz="914400" rtl="0" eaLnBrk="1" latinLnBrk="0" hangingPunct="1">
                            <a:defRPr sz="1800" kern="1200">
                              <a:solidFill>
                                <a:schemeClr val="dk1">
                                  <a:hueOff val="0"/>
                                  <a:satOff val="0"/>
                                  <a:lumOff val="0"/>
                                  <a:alphaOff val="0"/>
                                </a:schemeClr>
                              </a:solidFill>
                              <a:latin typeface="+mn-lt"/>
                              <a:ea typeface="+mn-ea"/>
                              <a:cs typeface="+mn-cs"/>
                            </a:defRPr>
                          </a:lvl8pPr>
                          <a:lvl9pPr marL="3657600" algn="l" defTabSz="914400" rtl="0" eaLnBrk="1" latinLnBrk="0" hangingPunct="1">
                            <a:defRPr sz="1800" kern="1200">
                              <a:solidFill>
                                <a:schemeClr val="dk1">
                                  <a:hueOff val="0"/>
                                  <a:satOff val="0"/>
                                  <a:lumOff val="0"/>
                                  <a:alphaOff val="0"/>
                                </a:schemeClr>
                              </a:solidFill>
                              <a:latin typeface="+mn-lt"/>
                              <a:ea typeface="+mn-ea"/>
                              <a:cs typeface="+mn-cs"/>
                            </a:defRPr>
                          </a:lvl9pPr>
                        </a:lstStyle>
                        <a:p>
                          <a:pPr marL="0" lvl="1">
                            <a:spcBef>
                              <a:spcPts val="200"/>
                            </a:spcBef>
                            <a:buSzPct val="100000"/>
                            <a:buFont typeface="Wingdings" pitchFamily="2" charset="2"/>
                            <a:buChar char="§"/>
                            <a:defRPr/>
                          </a:pPr>
                          <a:r>
                            <a:rPr lang="en-US" sz="1500" b="1" dirty="0" smtClean="0">
                              <a:solidFill>
                                <a:schemeClr val="tx1"/>
                              </a:solidFill>
                              <a:latin typeface="+mj-lt"/>
                            </a:rPr>
                            <a:t>     Private Letter Ruling 9636033: </a:t>
                          </a:r>
                        </a:p>
                        <a:p>
                          <a:pPr marL="0" lvl="1">
                            <a:spcBef>
                              <a:spcPts val="200"/>
                            </a:spcBef>
                            <a:buClr>
                              <a:schemeClr val="accent1"/>
                            </a:buClr>
                            <a:buSzPct val="100000"/>
                            <a:defRPr/>
                          </a:pPr>
                          <a:r>
                            <a:rPr lang="en-US" sz="1500" dirty="0" smtClean="0">
                              <a:solidFill>
                                <a:schemeClr val="tx1"/>
                              </a:solidFill>
                              <a:latin typeface="+mj-lt"/>
                            </a:rPr>
                            <a:t>Split dollar principles apply where the arrangement is between a family member and an insurance trust</a:t>
                          </a:r>
                          <a:r>
                            <a:rPr lang="en-US" sz="1500" dirty="0" smtClean="0">
                              <a:solidFill>
                                <a:schemeClr val="tx1"/>
                              </a:solidFill>
                            </a:rPr>
                            <a:t> (not precedent)</a:t>
                          </a:r>
                          <a:endParaRPr lang="en-US" sz="1500" baseline="30000" dirty="0">
                            <a:solidFill>
                              <a:schemeClr val="tx1"/>
                            </a:solidFill>
                            <a:latin typeface="+mj-lt"/>
                          </a:endParaRPr>
                        </a:p>
                      </a:txBody>
                      <a:useSpRect/>
                    </a:txSp>
                    <a:style>
                      <a:lnRef idx="0">
                        <a:scrgbClr r="0" g="0" b="0"/>
                      </a:lnRef>
                      <a:fillRef idx="0">
                        <a:scrgbClr r="0" g="0" b="0"/>
                      </a:fillRef>
                      <a:effectRef idx="0">
                        <a:scrgbClr r="0" g="0" b="0"/>
                      </a:effectRef>
                      <a:fontRef idx="minor">
                        <a:schemeClr val="dk1">
                          <a:hueOff val="0"/>
                          <a:satOff val="0"/>
                          <a:lumOff val="0"/>
                          <a:alphaOff val="0"/>
                        </a:schemeClr>
                      </a:fontRef>
                    </a:style>
                  </a:sp>
                </lc:lockedCanvas>
              </a:graphicData>
            </a:graphic>
          </wp:inline>
        </w:drawing>
      </w:r>
      <w:r w:rsidRPr="00670529">
        <w:rPr>
          <w:rFonts w:ascii="Times New Roman" w:hAnsi="Times New Roman"/>
          <w:b/>
          <w:noProof/>
          <w:sz w:val="24"/>
          <w:szCs w:val="24"/>
        </w:rPr>
        <w:drawing>
          <wp:inline distT="0" distB="0" distL="0" distR="0">
            <wp:extent cx="4651629" cy="2438400"/>
            <wp:effectExtent l="6096" t="0" r="0" b="0"/>
            <wp:docPr id="20"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648200" cy="2440632"/>
                      <a:chOff x="3886200" y="4267200"/>
                      <a:chExt cx="4648200" cy="2440632"/>
                    </a:xfrm>
                  </a:grpSpPr>
                  <a:cxnSp>
                    <a:nvCxnSpPr>
                      <a:cNvPr id="260" name="Straight Connector 259"/>
                      <a:cNvCxnSpPr/>
                    </a:nvCxnSpPr>
                    <a:spPr>
                      <a:xfrm rot="5400000">
                        <a:off x="7789254" y="4840786"/>
                        <a:ext cx="165795"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1" name="Straight Connector 260"/>
                      <a:cNvCxnSpPr/>
                    </a:nvCxnSpPr>
                    <a:spPr>
                      <a:xfrm rot="5400000" flipH="1" flipV="1">
                        <a:off x="4465551" y="4840785"/>
                        <a:ext cx="165795"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63" name="Rectangle 262"/>
                      <a:cNvSpPr/>
                    </a:nvSpPr>
                    <a:spPr>
                      <a:xfrm>
                        <a:off x="5417672" y="4267200"/>
                        <a:ext cx="1548016" cy="290141"/>
                      </a:xfrm>
                      <a:prstGeom prst="rect">
                        <a:avLst/>
                      </a:prstGeom>
                      <a:solidFill>
                        <a:srgbClr val="002060"/>
                      </a:solidFill>
                      <a:ln w="9525">
                        <a:solidFill>
                          <a:schemeClr val="accent1"/>
                        </a:solidFill>
                      </a:ln>
                    </a:spPr>
                    <a:txSp>
                      <a:txBody>
                        <a:bodyPr anchor="ctr" anchorCtr="1">
                          <a:norm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defRPr/>
                          </a:pPr>
                          <a:r>
                            <a:rPr lang="en-US" sz="1200" b="1" dirty="0" smtClean="0">
                              <a:latin typeface="Calibri" pitchFamily="34" charset="0"/>
                            </a:rPr>
                            <a:t>Policy</a:t>
                          </a:r>
                          <a:endParaRPr lang="en-US" sz="1200" b="1" dirty="0">
                            <a:latin typeface="Calibri"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64" name="Straight Connector 263"/>
                      <a:cNvCxnSpPr/>
                    </a:nvCxnSpPr>
                    <a:spPr>
                      <a:xfrm rot="5400000">
                        <a:off x="6106678" y="4632910"/>
                        <a:ext cx="207244"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265" name="Straight Connector 264"/>
                      <a:cNvCxnSpPr/>
                    </a:nvCxnSpPr>
                    <a:spPr>
                      <a:xfrm>
                        <a:off x="4548448" y="4757888"/>
                        <a:ext cx="3323705" cy="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266" name="Rectangle 265"/>
                      <a:cNvSpPr/>
                    </a:nvSpPr>
                    <a:spPr>
                      <a:xfrm>
                        <a:off x="3886200" y="4910288"/>
                        <a:ext cx="1266558" cy="414487"/>
                      </a:xfrm>
                      <a:prstGeom prst="rect">
                        <a:avLst/>
                      </a:prstGeom>
                      <a:solidFill>
                        <a:schemeClr val="tx2"/>
                      </a:solidFill>
                      <a:ln w="9525">
                        <a:solidFill>
                          <a:schemeClr val="tx2">
                            <a:lumMod val="75000"/>
                          </a:schemeClr>
                        </a:solidFill>
                      </a:ln>
                    </a:spPr>
                    <a:txSp>
                      <a:txBody>
                        <a:bodyPr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ts val="1200"/>
                            </a:lnSpc>
                          </a:pPr>
                          <a:r>
                            <a:rPr lang="en-US" sz="1200" b="1" dirty="0" smtClean="0"/>
                            <a:t>Term</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67" name="Rectangle 266"/>
                      <a:cNvSpPr/>
                    </a:nvSpPr>
                    <a:spPr>
                      <a:xfrm>
                        <a:off x="7267842" y="4910288"/>
                        <a:ext cx="1266558" cy="414487"/>
                      </a:xfrm>
                      <a:prstGeom prst="rect">
                        <a:avLst/>
                      </a:prstGeom>
                      <a:solidFill>
                        <a:schemeClr val="tx2"/>
                      </a:solidFill>
                      <a:ln w="9525">
                        <a:solidFill>
                          <a:schemeClr val="tx2">
                            <a:lumMod val="75000"/>
                          </a:schemeClr>
                        </a:solidFill>
                      </a:ln>
                    </a:spPr>
                    <a:txSp>
                      <a:txBody>
                        <a:bodyPr rtlCol="0" anchor="ctr">
                          <a:no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lnSpc>
                              <a:spcPts val="1200"/>
                            </a:lnSpc>
                          </a:pPr>
                          <a:r>
                            <a:rPr lang="en-US" sz="1200" b="1" dirty="0" smtClean="0"/>
                            <a:t>Cash Value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68" name="Rectangle 267"/>
                      <a:cNvSpPr/>
                    </a:nvSpPr>
                    <a:spPr>
                      <a:xfrm>
                        <a:off x="5548052" y="5824688"/>
                        <a:ext cx="1266558" cy="414487"/>
                      </a:xfrm>
                      <a:prstGeom prst="rect">
                        <a:avLst/>
                      </a:prstGeom>
                      <a:solidFill>
                        <a:schemeClr val="bg1">
                          <a:lumMod val="65000"/>
                        </a:schemeClr>
                      </a:solidFill>
                      <a:ln w="9525">
                        <a:solidFill>
                          <a:schemeClr val="tx2">
                            <a:lumMod val="75000"/>
                          </a:schemeClr>
                        </a:solidFill>
                      </a:ln>
                    </a:spPr>
                    <a:txSp>
                      <a:txBody>
                        <a:bodyPr rtlCol="0" anchor="ctr">
                          <a:normAutofit fontScale="92500" lnSpcReduction="10000"/>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t>Split Dollar Agreement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69" name="Rectangle 268"/>
                      <a:cNvSpPr/>
                    </a:nvSpPr>
                    <a:spPr>
                      <a:xfrm>
                        <a:off x="3886200" y="5824688"/>
                        <a:ext cx="1266558" cy="414487"/>
                      </a:xfrm>
                      <a:prstGeom prst="rect">
                        <a:avLst/>
                      </a:prstGeom>
                      <a:solidFill>
                        <a:schemeClr val="bg1">
                          <a:lumMod val="65000"/>
                        </a:schemeClr>
                      </a:solidFill>
                      <a:ln w="9525">
                        <a:solidFill>
                          <a:schemeClr val="tx2">
                            <a:lumMod val="75000"/>
                          </a:schemeClr>
                        </a:solidFill>
                      </a:ln>
                    </a:spPr>
                    <a:txSp>
                      <a:txBody>
                        <a:bodyPr rtlCol="0" anchor="ctr">
                          <a:normAutofit/>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err="1" smtClean="0"/>
                            <a:t>ILIT</a:t>
                          </a:r>
                          <a:endParaRPr lang="en-US" sz="1200" b="1" dirty="0" smtClean="0"/>
                        </a:p>
                      </a:txBody>
                      <a:useSpRect/>
                    </a:txSp>
                    <a:style>
                      <a:lnRef idx="2">
                        <a:schemeClr val="accent1">
                          <a:shade val="50000"/>
                        </a:schemeClr>
                      </a:lnRef>
                      <a:fillRef idx="1">
                        <a:schemeClr val="accent1"/>
                      </a:fillRef>
                      <a:effectRef idx="0">
                        <a:schemeClr val="accent1"/>
                      </a:effectRef>
                      <a:fontRef idx="minor">
                        <a:schemeClr val="lt1"/>
                      </a:fontRef>
                    </a:style>
                  </a:sp>
                  <a:sp>
                    <a:nvSpPr>
                      <a:cNvPr id="270" name="Rectangle 269"/>
                      <a:cNvSpPr/>
                    </a:nvSpPr>
                    <a:spPr>
                      <a:xfrm>
                        <a:off x="7267842" y="5824688"/>
                        <a:ext cx="1266558" cy="414487"/>
                      </a:xfrm>
                      <a:prstGeom prst="rect">
                        <a:avLst/>
                      </a:prstGeom>
                      <a:solidFill>
                        <a:schemeClr val="bg1">
                          <a:lumMod val="65000"/>
                        </a:schemeClr>
                      </a:solidFill>
                      <a:ln w="9525">
                        <a:solidFill>
                          <a:schemeClr val="tx2">
                            <a:lumMod val="75000"/>
                          </a:schemeClr>
                        </a:solidFill>
                      </a:ln>
                    </a:spPr>
                    <a:txSp>
                      <a:txBody>
                        <a:bodyPr rtlCol="0" anchor="ctr">
                          <a:normAutofit fontScale="92500" lnSpcReduction="10000"/>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t>Family Member (Not the Insured)</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71" name="Straight Arrow Connector 270"/>
                      <a:cNvCxnSpPr>
                        <a:stCxn id="266" idx="2"/>
                        <a:endCxn id="269" idx="0"/>
                      </a:cNvCxnSpPr>
                    </a:nvCxnSpPr>
                    <a:spPr>
                      <a:xfrm rot="5400000">
                        <a:off x="4269523" y="5574738"/>
                        <a:ext cx="499913" cy="157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2" name="Straight Arrow Connector 271"/>
                      <a:cNvCxnSpPr>
                        <a:stCxn id="267" idx="2"/>
                        <a:endCxn id="270" idx="0"/>
                      </a:cNvCxnSpPr>
                    </a:nvCxnSpPr>
                    <a:spPr>
                      <a:xfrm rot="5400000">
                        <a:off x="7651166" y="5574738"/>
                        <a:ext cx="499913" cy="157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73" name="Straight Arrow Connector 272"/>
                      <a:cNvCxnSpPr>
                        <a:stCxn id="269" idx="3"/>
                        <a:endCxn id="268" idx="1"/>
                      </a:cNvCxnSpPr>
                    </a:nvCxnSpPr>
                    <a:spPr>
                      <a:xfrm>
                        <a:off x="5152758" y="6031932"/>
                        <a:ext cx="395295" cy="1588"/>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74" name="Straight Arrow Connector 273"/>
                      <a:cNvCxnSpPr>
                        <a:stCxn id="268" idx="3"/>
                        <a:endCxn id="270" idx="1"/>
                      </a:cNvCxnSpPr>
                    </a:nvCxnSpPr>
                    <a:spPr>
                      <a:xfrm>
                        <a:off x="6814610" y="6031932"/>
                        <a:ext cx="453232" cy="1588"/>
                      </a:xfrm>
                      <a:prstGeom prst="straightConnector1">
                        <a:avLst/>
                      </a:prstGeom>
                      <a:ln>
                        <a:solidFill>
                          <a:schemeClr val="tx1"/>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276" name="Elbow Connector 275"/>
                      <a:cNvCxnSpPr>
                        <a:stCxn id="270" idx="2"/>
                        <a:endCxn id="269" idx="2"/>
                      </a:cNvCxnSpPr>
                    </a:nvCxnSpPr>
                    <a:spPr>
                      <a:xfrm rot="5400000">
                        <a:off x="6210294" y="4548354"/>
                        <a:ext cx="1588" cy="3381642"/>
                      </a:xfrm>
                      <a:prstGeom prst="bentConnector3">
                        <a:avLst>
                          <a:gd name="adj1" fmla="val 14395466"/>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78" name="TextBox 277"/>
                      <a:cNvSpPr txBox="1"/>
                    </a:nvSpPr>
                    <a:spPr>
                      <a:xfrm>
                        <a:off x="5472514" y="6477000"/>
                        <a:ext cx="1510775" cy="2308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900" b="1" dirty="0" smtClean="0"/>
                            <a:t>Imputed Gift Each Year</a:t>
                          </a:r>
                          <a:endParaRPr lang="en-US" sz="900" b="1" dirty="0"/>
                        </a:p>
                      </a:txBody>
                      <a:useSpRect/>
                    </a:txSp>
                  </a:sp>
                </lc:lockedCanvas>
              </a:graphicData>
            </a:graphic>
          </wp:inline>
        </w:drawing>
      </w: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70529" w:rsidRDefault="00670529" w:rsidP="00B95C5A">
      <w:pPr>
        <w:spacing w:after="0" w:line="240" w:lineRule="auto"/>
        <w:rPr>
          <w:rFonts w:ascii="Times New Roman" w:hAnsi="Times New Roman"/>
          <w:b/>
          <w:sz w:val="24"/>
          <w:szCs w:val="24"/>
        </w:rPr>
      </w:pPr>
    </w:p>
    <w:p w:rsidR="006E0159" w:rsidRPr="009F2376" w:rsidRDefault="00B95C5A" w:rsidP="00B95C5A">
      <w:pPr>
        <w:spacing w:after="0" w:line="240" w:lineRule="auto"/>
        <w:rPr>
          <w:rFonts w:ascii="Times New Roman" w:hAnsi="Times New Roman"/>
        </w:rPr>
      </w:pPr>
      <w:r>
        <w:rPr>
          <w:rFonts w:ascii="Times New Roman" w:hAnsi="Times New Roman"/>
          <w:b/>
          <w:sz w:val="24"/>
          <w:szCs w:val="24"/>
        </w:rPr>
        <w:tab/>
      </w:r>
    </w:p>
    <w:p w:rsidR="006E0159" w:rsidRPr="009F2376" w:rsidRDefault="006E0159" w:rsidP="009B6A3A">
      <w:pPr>
        <w:pStyle w:val="ListParagraph"/>
        <w:spacing w:after="0" w:line="240" w:lineRule="auto"/>
        <w:ind w:left="1440"/>
        <w:rPr>
          <w:rFonts w:ascii="Times New Roman" w:hAnsi="Times New Roman"/>
        </w:rPr>
      </w:pPr>
    </w:p>
    <w:p w:rsidR="006E0159" w:rsidRPr="009F2376" w:rsidRDefault="006E0159" w:rsidP="009B6A3A">
      <w:pPr>
        <w:pStyle w:val="ListParagraph"/>
        <w:spacing w:after="0" w:line="240" w:lineRule="auto"/>
        <w:ind w:left="1440"/>
        <w:rPr>
          <w:rFonts w:ascii="Times New Roman" w:hAnsi="Times New Roman"/>
        </w:rPr>
      </w:pPr>
    </w:p>
    <w:p w:rsidR="006E0159" w:rsidRPr="009F2376" w:rsidRDefault="006E0159" w:rsidP="009B6A3A">
      <w:pPr>
        <w:pStyle w:val="ListParagraph"/>
        <w:spacing w:after="0" w:line="240" w:lineRule="auto"/>
        <w:ind w:left="1440"/>
        <w:rPr>
          <w:rFonts w:ascii="Times New Roman" w:hAnsi="Times New Roman"/>
        </w:rPr>
      </w:pPr>
    </w:p>
    <w:p w:rsidR="006E0159" w:rsidRPr="009F2376" w:rsidRDefault="006E0159" w:rsidP="009B6A3A">
      <w:pPr>
        <w:pStyle w:val="ListParagraph"/>
        <w:spacing w:after="0" w:line="240" w:lineRule="auto"/>
        <w:ind w:left="1440"/>
        <w:rPr>
          <w:rFonts w:ascii="Times New Roman" w:hAnsi="Times New Roman"/>
        </w:rPr>
      </w:pPr>
    </w:p>
    <w:p w:rsidR="006E0159" w:rsidRPr="009F2376" w:rsidRDefault="006E0159" w:rsidP="009B6A3A">
      <w:pPr>
        <w:pStyle w:val="ListParagraph"/>
        <w:spacing w:after="0" w:line="240" w:lineRule="auto"/>
        <w:ind w:left="1440"/>
        <w:rPr>
          <w:rFonts w:ascii="Times New Roman" w:hAnsi="Times New Roman"/>
          <w:b/>
        </w:rPr>
      </w:pPr>
    </w:p>
    <w:sectPr w:rsidR="006E0159" w:rsidRPr="009F2376" w:rsidSect="0082441D">
      <w:footerReference w:type="default" r:id="rId1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6A10" w:rsidRDefault="006D6A10" w:rsidP="00D45AE8">
      <w:pPr>
        <w:spacing w:after="0" w:line="240" w:lineRule="auto"/>
      </w:pPr>
      <w:r>
        <w:separator/>
      </w:r>
    </w:p>
  </w:endnote>
  <w:endnote w:type="continuationSeparator" w:id="0">
    <w:p w:rsidR="006D6A10" w:rsidRDefault="006D6A10" w:rsidP="00D45A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159" w:rsidRDefault="007A6F70">
    <w:pPr>
      <w:pStyle w:val="Footer"/>
      <w:jc w:val="center"/>
    </w:pPr>
    <w:fldSimple w:instr=" PAGE   \* MERGEFORMAT ">
      <w:r w:rsidR="00BD0776">
        <w:rPr>
          <w:noProof/>
        </w:rPr>
        <w:t>28</w:t>
      </w:r>
    </w:fldSimple>
  </w:p>
  <w:p w:rsidR="006E0159" w:rsidRDefault="006E01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6A10" w:rsidRDefault="006D6A10" w:rsidP="00D45AE8">
      <w:pPr>
        <w:spacing w:after="0" w:line="240" w:lineRule="auto"/>
      </w:pPr>
      <w:r>
        <w:separator/>
      </w:r>
    </w:p>
  </w:footnote>
  <w:footnote w:type="continuationSeparator" w:id="0">
    <w:p w:rsidR="006D6A10" w:rsidRDefault="006D6A10" w:rsidP="00D45AE8">
      <w:pPr>
        <w:spacing w:after="0" w:line="240" w:lineRule="auto"/>
      </w:pPr>
      <w:r>
        <w:continuationSeparator/>
      </w:r>
    </w:p>
  </w:footnote>
  <w:footnote w:id="1">
    <w:p w:rsidR="006E0159" w:rsidRDefault="006E0159">
      <w:pPr>
        <w:pStyle w:val="FootnoteText"/>
      </w:pPr>
      <w:r>
        <w:rPr>
          <w:rStyle w:val="FootnoteReference"/>
        </w:rPr>
        <w:footnoteRef/>
      </w:r>
      <w:r>
        <w:t xml:space="preserve"> </w:t>
      </w:r>
      <w:r w:rsidRPr="009F2376">
        <w:t>Additional factors may affect cost – e.g., gender or activities (e.g., parachuting).</w:t>
      </w:r>
    </w:p>
  </w:footnote>
  <w:footnote w:id="2">
    <w:p w:rsidR="006E0159" w:rsidRDefault="006E0159">
      <w:pPr>
        <w:pStyle w:val="FootnoteText"/>
      </w:pPr>
      <w:r>
        <w:rPr>
          <w:rStyle w:val="FootnoteReference"/>
        </w:rPr>
        <w:footnoteRef/>
      </w:r>
      <w:r>
        <w:t xml:space="preserve"> </w:t>
      </w:r>
      <w:r w:rsidRPr="009F2376">
        <w:t>Another factor which may make the cost of the coverage increase each year is “adverse selection.”  Those insured whose health deteriorates tend to keep the current insurance coverage because they anticipate the inability to acquire “new” insurance at favorable rates.</w:t>
      </w:r>
    </w:p>
  </w:footnote>
  <w:footnote w:id="3">
    <w:p w:rsidR="006E0159" w:rsidRDefault="006E0159">
      <w:pPr>
        <w:pStyle w:val="FootnoteText"/>
      </w:pPr>
      <w:r>
        <w:rPr>
          <w:rStyle w:val="FootnoteReference"/>
        </w:rPr>
        <w:footnoteRef/>
      </w:r>
      <w:r>
        <w:t xml:space="preserve"> </w:t>
      </w:r>
      <w:r w:rsidRPr="009F2376">
        <w:t xml:space="preserve">Both components, generally, are treated as life insurance proceeds for tax purposes and neither, in the usual case, is subject to income tax.  </w:t>
      </w:r>
      <w:r w:rsidRPr="009F2376">
        <w:rPr>
          <w:i/>
        </w:rPr>
        <w:t>See</w:t>
      </w:r>
      <w:r w:rsidRPr="009F2376">
        <w:t xml:space="preserve"> IRC § 101(a).</w:t>
      </w:r>
    </w:p>
  </w:footnote>
  <w:footnote w:id="4">
    <w:p w:rsidR="006E0159" w:rsidRDefault="006E0159">
      <w:pPr>
        <w:pStyle w:val="FootnoteText"/>
      </w:pPr>
      <w:r>
        <w:rPr>
          <w:rStyle w:val="FootnoteReference"/>
        </w:rPr>
        <w:footnoteRef/>
      </w:r>
      <w:r>
        <w:t xml:space="preserve"> </w:t>
      </w:r>
      <w:proofErr w:type="gramStart"/>
      <w:r w:rsidRPr="009F2376">
        <w:rPr>
          <w:i/>
        </w:rPr>
        <w:t>See, generally</w:t>
      </w:r>
      <w:r w:rsidRPr="009F2376">
        <w:t xml:space="preserve">, </w:t>
      </w:r>
      <w:proofErr w:type="spellStart"/>
      <w:r w:rsidRPr="009F2376">
        <w:t>Blattmachr</w:t>
      </w:r>
      <w:proofErr w:type="spellEnd"/>
      <w:r w:rsidRPr="009F2376">
        <w:t xml:space="preserve">, </w:t>
      </w:r>
      <w:proofErr w:type="spellStart"/>
      <w:r w:rsidRPr="009F2376">
        <w:t>Rivlin</w:t>
      </w:r>
      <w:proofErr w:type="spellEnd"/>
      <w:r w:rsidRPr="009F2376">
        <w:t xml:space="preserve"> &amp; Morgan “Selected Aspects of Creditors’ Rights in the Context of Estate Planning,” </w:t>
      </w:r>
      <w:r w:rsidRPr="009F2376">
        <w:rPr>
          <w:i/>
        </w:rPr>
        <w:t>The Chase Review</w:t>
      </w:r>
      <w:r w:rsidRPr="009F2376">
        <w:t>, April 1992.</w:t>
      </w:r>
      <w:proofErr w:type="gramEnd"/>
    </w:p>
  </w:footnote>
  <w:footnote w:id="5">
    <w:p w:rsidR="006E0159" w:rsidRDefault="006E0159">
      <w:pPr>
        <w:pStyle w:val="FootnoteText"/>
      </w:pPr>
      <w:r>
        <w:rPr>
          <w:rStyle w:val="FootnoteReference"/>
        </w:rPr>
        <w:footnoteRef/>
      </w:r>
      <w:r>
        <w:t xml:space="preserve"> </w:t>
      </w:r>
      <w:proofErr w:type="gramStart"/>
      <w:r w:rsidRPr="009F2376">
        <w:t>IRC § 2035(a).</w:t>
      </w:r>
      <w:proofErr w:type="gramEnd"/>
    </w:p>
  </w:footnote>
  <w:footnote w:id="6">
    <w:p w:rsidR="006E0159" w:rsidRDefault="006E0159">
      <w:pPr>
        <w:pStyle w:val="FootnoteText"/>
      </w:pPr>
      <w:r>
        <w:rPr>
          <w:rStyle w:val="FootnoteReference"/>
        </w:rPr>
        <w:footnoteRef/>
      </w:r>
      <w:r>
        <w:t xml:space="preserve"> </w:t>
      </w:r>
      <w:proofErr w:type="gramStart"/>
      <w:r w:rsidRPr="009F2376">
        <w:t>IRC § 7702A.</w:t>
      </w:r>
      <w:proofErr w:type="gramEnd"/>
    </w:p>
  </w:footnote>
  <w:footnote w:id="7">
    <w:p w:rsidR="006E0159" w:rsidRPr="00057A6D" w:rsidRDefault="006E0159" w:rsidP="002B11D5">
      <w:pPr>
        <w:pStyle w:val="NormalWeb"/>
        <w:rPr>
          <w:sz w:val="20"/>
          <w:szCs w:val="20"/>
        </w:rPr>
      </w:pPr>
      <w:r>
        <w:rPr>
          <w:rStyle w:val="FootnoteReference"/>
        </w:rPr>
        <w:footnoteRef/>
      </w:r>
      <w:r>
        <w:t xml:space="preserve"> </w:t>
      </w:r>
      <w:r w:rsidRPr="00057A6D">
        <w:rPr>
          <w:sz w:val="20"/>
          <w:szCs w:val="20"/>
        </w:rPr>
        <w:t xml:space="preserve">See, e.g., Private Letter Rulings 2008-25-011 (appears terminable by joint consent or by the trust, which was the </w:t>
      </w:r>
      <w:proofErr w:type="spellStart"/>
      <w:r w:rsidRPr="00057A6D">
        <w:rPr>
          <w:sz w:val="20"/>
          <w:szCs w:val="20"/>
        </w:rPr>
        <w:t>erm</w:t>
      </w:r>
      <w:proofErr w:type="spellEnd"/>
      <w:r w:rsidRPr="00057A6D">
        <w:rPr>
          <w:sz w:val="20"/>
          <w:szCs w:val="20"/>
        </w:rPr>
        <w:t xml:space="preserve"> holder, alone); 2007-28-015 (indicates terminable by joint consent only); 97-45-019 (seems terminable by joint consent unless cash value equals or exceeds a certain value); 96-51-017 (appears terminable only by the trust which was the term holder). However, there is no express discussion of the termination rights as to whether it constitutes a gift or not. </w:t>
      </w:r>
      <w:r>
        <w:rPr>
          <w:sz w:val="20"/>
          <w:szCs w:val="20"/>
        </w:rPr>
        <w:t xml:space="preserve"> Under Section 6110(k</w:t>
      </w:r>
      <w:proofErr w:type="gramStart"/>
      <w:r>
        <w:rPr>
          <w:sz w:val="20"/>
          <w:szCs w:val="20"/>
        </w:rPr>
        <w:t>)(</w:t>
      </w:r>
      <w:proofErr w:type="gramEnd"/>
      <w:r>
        <w:rPr>
          <w:sz w:val="20"/>
          <w:szCs w:val="20"/>
        </w:rPr>
        <w:t>3) of the Code, neither a private letter ruling nor a national office technical advice memorandum may be cited or used as precedent.</w:t>
      </w:r>
    </w:p>
    <w:p w:rsidR="006E0159" w:rsidRDefault="006E0159" w:rsidP="002B11D5">
      <w:pPr>
        <w:pStyle w:val="NormalWeb"/>
      </w:pPr>
    </w:p>
  </w:footnote>
  <w:footnote w:id="8">
    <w:p w:rsidR="006E0159" w:rsidRDefault="006E0159">
      <w:pPr>
        <w:pStyle w:val="FootnoteText"/>
      </w:pPr>
      <w:r>
        <w:rPr>
          <w:rStyle w:val="FootnoteReference"/>
        </w:rPr>
        <w:footnoteRef/>
      </w:r>
      <w:r>
        <w:t xml:space="preserve"> </w:t>
      </w:r>
      <w:r w:rsidRPr="004A00FF">
        <w:rPr>
          <w:bCs/>
        </w:rPr>
        <w:t>Fox</w:t>
      </w:r>
      <w:r>
        <w:t xml:space="preserve"> &amp;</w:t>
      </w:r>
      <w:r w:rsidRPr="004A00FF">
        <w:rPr>
          <w:bCs/>
        </w:rPr>
        <w:t xml:space="preserve"> </w:t>
      </w:r>
      <w:proofErr w:type="spellStart"/>
      <w:r w:rsidRPr="004A00FF">
        <w:rPr>
          <w:bCs/>
        </w:rPr>
        <w:t>Teitelbaum</w:t>
      </w:r>
      <w:proofErr w:type="spellEnd"/>
      <w:r>
        <w:t>, “</w:t>
      </w:r>
      <w:r w:rsidRPr="004A00FF">
        <w:t xml:space="preserve">Validity of </w:t>
      </w:r>
      <w:r>
        <w:t>‘Shark-Fin’</w:t>
      </w:r>
      <w:r w:rsidRPr="004A00FF">
        <w:t xml:space="preserve"> CLATs Remains in Doubt Despite IRS Guidance</w:t>
      </w:r>
      <w:r>
        <w:t xml:space="preserve">,” </w:t>
      </w:r>
      <w:proofErr w:type="spellStart"/>
      <w:proofErr w:type="gramStart"/>
      <w:r>
        <w:t>Leimberg</w:t>
      </w:r>
      <w:proofErr w:type="spellEnd"/>
      <w:r>
        <w:t xml:space="preserve"> </w:t>
      </w:r>
      <w:r w:rsidRPr="004A7FBB">
        <w:t xml:space="preserve"> </w:t>
      </w:r>
      <w:proofErr w:type="gramEnd"/>
      <w:r w:rsidR="007A6F70">
        <w:fldChar w:fldCharType="begin"/>
      </w:r>
      <w:r w:rsidR="005E286D">
        <w:instrText>HYPERLINK "http://www.leimbergservices.com/openfile.cfm?filename=D:\\inetpub\\wwwroot\\all\\lis_cp_162.html&amp;fn=lis_cp_162"</w:instrText>
      </w:r>
      <w:r w:rsidR="007A6F70">
        <w:fldChar w:fldCharType="separate"/>
      </w:r>
      <w:r w:rsidRPr="004A7FBB">
        <w:rPr>
          <w:rStyle w:val="Hyperlink"/>
        </w:rPr>
        <w:t>Charitable Planning Newsletter #162</w:t>
      </w:r>
      <w:r w:rsidR="007A6F70">
        <w:fldChar w:fldCharType="end"/>
      </w:r>
      <w:r w:rsidRPr="004A7FBB">
        <w:rPr>
          <w:color w:val="0000FF"/>
        </w:rPr>
        <w:t>.</w:t>
      </w:r>
    </w:p>
  </w:footnote>
  <w:footnote w:id="9">
    <w:p w:rsidR="006E0159" w:rsidRDefault="006E0159">
      <w:pPr>
        <w:pStyle w:val="FootnoteText"/>
      </w:pPr>
      <w:r>
        <w:rPr>
          <w:rStyle w:val="FootnoteReference"/>
        </w:rPr>
        <w:footnoteRef/>
      </w:r>
      <w:r>
        <w:t xml:space="preserve"> Pratt, Goldberger &amp; Lee, “</w:t>
      </w:r>
      <w:r w:rsidRPr="00836F6E">
        <w:rPr>
          <w:rStyle w:val="Strong"/>
          <w:b w:val="0"/>
          <w:color w:val="0000FF"/>
        </w:rPr>
        <w:t>Biting Back: Responding to the Attack on Shark-Fin CLATs</w:t>
      </w:r>
      <w:r>
        <w:rPr>
          <w:rStyle w:val="Strong"/>
          <w:b w:val="0"/>
          <w:color w:val="0000FF"/>
        </w:rPr>
        <w:t>,”</w:t>
      </w:r>
      <w:r>
        <w:t xml:space="preserve"> </w:t>
      </w:r>
      <w:proofErr w:type="spellStart"/>
      <w:proofErr w:type="gramStart"/>
      <w:r>
        <w:t>Leimberg</w:t>
      </w:r>
      <w:proofErr w:type="spellEnd"/>
      <w:r>
        <w:t xml:space="preserve"> </w:t>
      </w:r>
      <w:r w:rsidRPr="004A7FBB">
        <w:t xml:space="preserve"> </w:t>
      </w:r>
      <w:r w:rsidRPr="00836F6E">
        <w:rPr>
          <w:u w:val="single"/>
        </w:rPr>
        <w:t>Cha</w:t>
      </w:r>
      <w:r>
        <w:rPr>
          <w:u w:val="single"/>
        </w:rPr>
        <w:t>ritable</w:t>
      </w:r>
      <w:proofErr w:type="gramEnd"/>
      <w:r>
        <w:rPr>
          <w:u w:val="single"/>
        </w:rPr>
        <w:t xml:space="preserve"> Planning Newsletter #163</w:t>
      </w:r>
      <w:r w:rsidRPr="004A7FBB">
        <w:t>.</w:t>
      </w:r>
    </w:p>
  </w:footnote>
  <w:footnote w:id="10">
    <w:p w:rsidR="006E0159" w:rsidRDefault="006E0159" w:rsidP="00901C0A">
      <w:pPr>
        <w:pStyle w:val="FootnoteText"/>
      </w:pPr>
      <w:r>
        <w:rPr>
          <w:rStyle w:val="FootnoteReference"/>
        </w:rPr>
        <w:footnoteRef/>
      </w:r>
      <w:r>
        <w:t xml:space="preserve"> Blattmachr, </w:t>
      </w:r>
      <w:r w:rsidRPr="00685D60">
        <w:t>“</w:t>
      </w:r>
      <w:r w:rsidRPr="00685D60">
        <w:rPr>
          <w:rStyle w:val="Strong"/>
          <w:color w:val="0000FF"/>
        </w:rPr>
        <w:t xml:space="preserve">Some Recapture Considerations and Other Problems Relating to Charitable Lead Trusts,” </w:t>
      </w:r>
      <w:proofErr w:type="spellStart"/>
      <w:proofErr w:type="gramStart"/>
      <w:r>
        <w:t>Leimberg</w:t>
      </w:r>
      <w:proofErr w:type="spellEnd"/>
      <w:r>
        <w:t xml:space="preserve"> </w:t>
      </w:r>
      <w:r w:rsidRPr="004A7FBB">
        <w:t xml:space="preserve"> </w:t>
      </w:r>
      <w:r w:rsidRPr="00836F6E">
        <w:rPr>
          <w:color w:val="0000FF"/>
          <w:u w:val="single"/>
        </w:rPr>
        <w:t>Cha</w:t>
      </w:r>
      <w:r>
        <w:rPr>
          <w:color w:val="0000FF"/>
          <w:u w:val="single"/>
        </w:rPr>
        <w:t>ritable</w:t>
      </w:r>
      <w:proofErr w:type="gramEnd"/>
      <w:r>
        <w:rPr>
          <w:color w:val="0000FF"/>
          <w:u w:val="single"/>
        </w:rPr>
        <w:t xml:space="preserve"> Planning Newsletter #172</w:t>
      </w:r>
      <w:r w:rsidRPr="004A7FBB">
        <w:rPr>
          <w:color w:val="0000FF"/>
        </w:rPr>
        <w:t>.</w:t>
      </w:r>
    </w:p>
  </w:footnote>
  <w:footnote w:id="11">
    <w:p w:rsidR="006E0159" w:rsidRDefault="006E0159">
      <w:pPr>
        <w:pStyle w:val="FootnoteText"/>
      </w:pPr>
      <w:r>
        <w:rPr>
          <w:rStyle w:val="FootnoteReference"/>
        </w:rPr>
        <w:footnoteRef/>
      </w:r>
      <w:r>
        <w:t xml:space="preserve"> </w:t>
      </w:r>
      <w:proofErr w:type="gramStart"/>
      <w:r>
        <w:t>See Blattmachr &amp; Blattmachr, “Efficient Use of the New $5 Million Gift and GST Exemptions,” Alaska Trust Company News Letter (January 2011), available at www.alaskatrust.com.</w:t>
      </w:r>
      <w:proofErr w:type="gramEnd"/>
    </w:p>
  </w:footnote>
  <w:footnote w:id="12">
    <w:p w:rsidR="006E0159" w:rsidRDefault="006E0159">
      <w:pPr>
        <w:pStyle w:val="FootnoteText"/>
      </w:pPr>
      <w:r>
        <w:rPr>
          <w:rStyle w:val="FootnoteReference"/>
        </w:rPr>
        <w:footnoteRef/>
      </w:r>
      <w:r w:rsidR="00321209">
        <w:t xml:space="preserve"> Keebler, “Navigating the ‘Bermuda Triangle’</w:t>
      </w:r>
      <w:r w:rsidR="0053537F">
        <w:t xml:space="preserve"> </w:t>
      </w:r>
      <w:r w:rsidR="00321209">
        <w:t>of IRAs – Non-Qualified Roth IRAs,” Family Tax Planning Forum (February 2008).</w:t>
      </w:r>
    </w:p>
  </w:footnote>
  <w:footnote w:id="13">
    <w:p w:rsidR="006E0159" w:rsidRDefault="006E0159">
      <w:pPr>
        <w:pStyle w:val="FootnoteText"/>
      </w:pPr>
      <w:r>
        <w:rPr>
          <w:rStyle w:val="FootnoteReference"/>
        </w:rPr>
        <w:footnoteRef/>
      </w:r>
      <w:r>
        <w:t xml:space="preserve"> </w:t>
      </w:r>
      <w:r w:rsidR="00973289">
        <w:t>See, generally, Choate, Life and Death Planning for Retirement Benefits (7</w:t>
      </w:r>
      <w:r w:rsidR="00973289" w:rsidRPr="00973289">
        <w:rPr>
          <w:vertAlign w:val="superscript"/>
        </w:rPr>
        <w:t>th</w:t>
      </w:r>
      <w:r w:rsidR="00973289">
        <w:t xml:space="preserve"> Edition).</w:t>
      </w:r>
    </w:p>
  </w:footnote>
  <w:footnote w:id="14">
    <w:p w:rsidR="006E0159" w:rsidRDefault="006E0159">
      <w:pPr>
        <w:pStyle w:val="FootnoteText"/>
      </w:pPr>
      <w:r>
        <w:rPr>
          <w:rStyle w:val="FootnoteReference"/>
        </w:rPr>
        <w:footnoteRef/>
      </w:r>
      <w:r>
        <w:t xml:space="preserve"> All of these arrangements and a comparison of grantor retained annuity trusts to installment sales to grantor trusts are contained in Blattmachr, Slade &amp; Zeydel, Tax Management Portfolio</w:t>
      </w:r>
      <w:r>
        <w:rPr>
          <w:rFonts w:ascii="Book Antiqua" w:hAnsi="Book Antiqua"/>
          <w:i/>
        </w:rPr>
        <w:t xml:space="preserve"> “Partial Interests - GRATs, GRUTs, QPRTs, (Section 2702).”</w:t>
      </w:r>
    </w:p>
  </w:footnote>
  <w:footnote w:id="15">
    <w:p w:rsidR="006E0159" w:rsidRDefault="006E0159" w:rsidP="00B32B3E">
      <w:pPr>
        <w:pStyle w:val="Resume"/>
      </w:pPr>
      <w:r>
        <w:rPr>
          <w:rStyle w:val="FootnoteReference"/>
        </w:rPr>
        <w:footnoteRef/>
      </w:r>
      <w:r>
        <w:t xml:space="preserve"> </w:t>
      </w:r>
      <w:proofErr w:type="gramStart"/>
      <w:r w:rsidRPr="00573327">
        <w:rPr>
          <w:sz w:val="20"/>
        </w:rPr>
        <w:t>Blattmachr, “Estate Planning for the Wealthy,” Million Dollar Round Table</w:t>
      </w:r>
      <w:r w:rsidRPr="00573327">
        <w:rPr>
          <w:i/>
          <w:sz w:val="20"/>
        </w:rPr>
        <w:t xml:space="preserve"> </w:t>
      </w:r>
      <w:r w:rsidRPr="00573327">
        <w:rPr>
          <w:sz w:val="20"/>
        </w:rPr>
        <w:t>Proceedings 764 (1982).</w:t>
      </w:r>
      <w:proofErr w:type="gramEnd"/>
    </w:p>
  </w:footnote>
  <w:footnote w:id="16">
    <w:p w:rsidR="006E0159" w:rsidRPr="00573327" w:rsidRDefault="006E0159" w:rsidP="009557F4">
      <w:pPr>
        <w:pStyle w:val="Resume"/>
        <w:rPr>
          <w:sz w:val="20"/>
        </w:rPr>
      </w:pPr>
      <w:r>
        <w:rPr>
          <w:rStyle w:val="FootnoteReference"/>
        </w:rPr>
        <w:footnoteRef/>
      </w:r>
      <w:r>
        <w:t xml:space="preserve"> </w:t>
      </w:r>
      <w:r w:rsidRPr="00573327">
        <w:rPr>
          <w:sz w:val="20"/>
        </w:rPr>
        <w:t>Blattmachr &amp; Ross, “Rethinking the Use and Ownership of Survivorship Insurance,”</w:t>
      </w:r>
      <w:r w:rsidRPr="00573327">
        <w:rPr>
          <w:i/>
          <w:sz w:val="20"/>
        </w:rPr>
        <w:t xml:space="preserve"> The Chase Review</w:t>
      </w:r>
      <w:r w:rsidRPr="00573327">
        <w:rPr>
          <w:sz w:val="20"/>
        </w:rPr>
        <w:t xml:space="preserve"> (January 1992), reprinted</w:t>
      </w:r>
      <w:r>
        <w:rPr>
          <w:sz w:val="20"/>
        </w:rPr>
        <w:t xml:space="preserve"> </w:t>
      </w:r>
      <w:r w:rsidRPr="00573327">
        <w:rPr>
          <w:sz w:val="20"/>
        </w:rPr>
        <w:t>in 18</w:t>
      </w:r>
      <w:r w:rsidRPr="00573327">
        <w:rPr>
          <w:i/>
          <w:sz w:val="20"/>
        </w:rPr>
        <w:t xml:space="preserve"> ACTEC Notes</w:t>
      </w:r>
      <w:r w:rsidRPr="00573327">
        <w:rPr>
          <w:sz w:val="20"/>
        </w:rPr>
        <w:t xml:space="preserve"> 186 (1992);</w:t>
      </w:r>
    </w:p>
    <w:p w:rsidR="006E0159" w:rsidRDefault="006E0159" w:rsidP="009557F4">
      <w:pPr>
        <w:pStyle w:val="Resume"/>
      </w:pPr>
    </w:p>
  </w:footnote>
  <w:footnote w:id="17">
    <w:p w:rsidR="006E0159" w:rsidRDefault="006E0159">
      <w:pPr>
        <w:pStyle w:val="FootnoteText"/>
      </w:pPr>
      <w:r>
        <w:rPr>
          <w:rStyle w:val="FootnoteReference"/>
        </w:rPr>
        <w:footnoteRef/>
      </w:r>
      <w:r>
        <w:t xml:space="preserve"> See PLR 200944002 (Alaska “self settled” trust for grantor not included in grantor’s gross estate unless a finding of some “prearrangement” with the trustee).  This ruling is discussed in detail in Rothschild, Blattmachr, Gans &amp; Blattmachr, </w:t>
      </w:r>
      <w:r w:rsidRPr="008B2FA3">
        <w:rPr>
          <w:color w:val="000000"/>
        </w:rPr>
        <w:t>"IRS Rules Self-Settled Alaska Trust Will Not Be in Grantor's Estate," 37 Estate Planning 3 (Jan. 2010).</w:t>
      </w:r>
      <w:r>
        <w:t xml:space="preserve">              </w:t>
      </w:r>
    </w:p>
  </w:footnote>
  <w:footnote w:id="18">
    <w:p w:rsidR="006E0159" w:rsidRDefault="006E0159">
      <w:pPr>
        <w:pStyle w:val="FootnoteText"/>
      </w:pPr>
      <w:r>
        <w:rPr>
          <w:rStyle w:val="FootnoteReference"/>
        </w:rPr>
        <w:footnoteRef/>
      </w:r>
      <w:r>
        <w:t xml:space="preserve"> Even if her lifetime exemption is smaller, the result will be the same by preserving enough </w:t>
      </w:r>
      <w:proofErr w:type="gramStart"/>
      <w:r>
        <w:t>asset</w:t>
      </w:r>
      <w:proofErr w:type="gramEnd"/>
      <w:r>
        <w:t xml:space="preserve"> to form part of her gross estate to use her remaining estate tax exemption.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A5FFD"/>
    <w:multiLevelType w:val="hybridMultilevel"/>
    <w:tmpl w:val="99EC6AEC"/>
    <w:lvl w:ilvl="0" w:tplc="8DCC52D2">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
    <w:nsid w:val="08234CAB"/>
    <w:multiLevelType w:val="hybridMultilevel"/>
    <w:tmpl w:val="65222704"/>
    <w:lvl w:ilvl="0" w:tplc="3A3801E8">
      <w:start w:val="9"/>
      <w:numFmt w:val="upperRoman"/>
      <w:lvlText w:val="%1."/>
      <w:lvlJc w:val="left"/>
      <w:pPr>
        <w:ind w:left="1800" w:hanging="72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0CE31356"/>
    <w:multiLevelType w:val="hybridMultilevel"/>
    <w:tmpl w:val="A2BC6D56"/>
    <w:lvl w:ilvl="0" w:tplc="7D3015BE">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
    <w:nsid w:val="0DF818EA"/>
    <w:multiLevelType w:val="hybridMultilevel"/>
    <w:tmpl w:val="C1AEC08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E5916D5"/>
    <w:multiLevelType w:val="hybridMultilevel"/>
    <w:tmpl w:val="C7F8F482"/>
    <w:lvl w:ilvl="0" w:tplc="A0BE3B3C">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1DD36733"/>
    <w:multiLevelType w:val="hybridMultilevel"/>
    <w:tmpl w:val="8564D1DE"/>
    <w:lvl w:ilvl="0" w:tplc="60703BC0">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
    <w:nsid w:val="1F2F0231"/>
    <w:multiLevelType w:val="hybridMultilevel"/>
    <w:tmpl w:val="3428633A"/>
    <w:lvl w:ilvl="0" w:tplc="C788360E">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
    <w:nsid w:val="21322CDE"/>
    <w:multiLevelType w:val="hybridMultilevel"/>
    <w:tmpl w:val="603E8DF6"/>
    <w:lvl w:ilvl="0" w:tplc="CDA6D2AA">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
    <w:nsid w:val="292B0484"/>
    <w:multiLevelType w:val="hybridMultilevel"/>
    <w:tmpl w:val="F6DAD224"/>
    <w:lvl w:ilvl="0" w:tplc="7B0E6EF4">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
    <w:nsid w:val="2C503F0D"/>
    <w:multiLevelType w:val="hybridMultilevel"/>
    <w:tmpl w:val="58C4D03A"/>
    <w:lvl w:ilvl="0" w:tplc="3BD23DC0">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0">
    <w:nsid w:val="3994262C"/>
    <w:multiLevelType w:val="hybridMultilevel"/>
    <w:tmpl w:val="05DE869C"/>
    <w:lvl w:ilvl="0" w:tplc="805CC166">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
    <w:nsid w:val="3E2E3E3C"/>
    <w:multiLevelType w:val="hybridMultilevel"/>
    <w:tmpl w:val="67E8A160"/>
    <w:lvl w:ilvl="0" w:tplc="DA662590">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E3F3017"/>
    <w:multiLevelType w:val="hybridMultilevel"/>
    <w:tmpl w:val="BCF20244"/>
    <w:lvl w:ilvl="0" w:tplc="8390B7D4">
      <w:start w:val="1"/>
      <w:numFmt w:val="upp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42B858D8"/>
    <w:multiLevelType w:val="hybridMultilevel"/>
    <w:tmpl w:val="E3720D7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49F50256"/>
    <w:multiLevelType w:val="hybridMultilevel"/>
    <w:tmpl w:val="69FC78C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4D4E7341"/>
    <w:multiLevelType w:val="hybridMultilevel"/>
    <w:tmpl w:val="A7F4B470"/>
    <w:lvl w:ilvl="0" w:tplc="FEA6EDC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5BC1527D"/>
    <w:multiLevelType w:val="hybridMultilevel"/>
    <w:tmpl w:val="3DD6CE2A"/>
    <w:lvl w:ilvl="0" w:tplc="E110BE3A">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nsid w:val="61442B37"/>
    <w:multiLevelType w:val="hybridMultilevel"/>
    <w:tmpl w:val="FC54ED1E"/>
    <w:lvl w:ilvl="0" w:tplc="0C7AEFE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633A7BE8"/>
    <w:multiLevelType w:val="hybridMultilevel"/>
    <w:tmpl w:val="EFB234E4"/>
    <w:lvl w:ilvl="0" w:tplc="E286AD2C">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nsid w:val="66905C34"/>
    <w:multiLevelType w:val="hybridMultilevel"/>
    <w:tmpl w:val="96ACD050"/>
    <w:lvl w:ilvl="0" w:tplc="74E04572">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0">
    <w:nsid w:val="66B86DF3"/>
    <w:multiLevelType w:val="hybridMultilevel"/>
    <w:tmpl w:val="177649CA"/>
    <w:lvl w:ilvl="0" w:tplc="6B643936">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nsid w:val="6BDF22C5"/>
    <w:multiLevelType w:val="hybridMultilevel"/>
    <w:tmpl w:val="7B38AD4C"/>
    <w:lvl w:ilvl="0" w:tplc="FE603E54">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nsid w:val="6EB744D6"/>
    <w:multiLevelType w:val="hybridMultilevel"/>
    <w:tmpl w:val="79CC24B8"/>
    <w:lvl w:ilvl="0" w:tplc="A0D0D0DE">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nsid w:val="6F927998"/>
    <w:multiLevelType w:val="hybridMultilevel"/>
    <w:tmpl w:val="8926E578"/>
    <w:lvl w:ilvl="0" w:tplc="2F4E3BF4">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4">
    <w:nsid w:val="739E5580"/>
    <w:multiLevelType w:val="hybridMultilevel"/>
    <w:tmpl w:val="927AC0F4"/>
    <w:lvl w:ilvl="0" w:tplc="153C167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5">
    <w:nsid w:val="77607E30"/>
    <w:multiLevelType w:val="hybridMultilevel"/>
    <w:tmpl w:val="E6E0A32A"/>
    <w:lvl w:ilvl="0" w:tplc="A0E87070">
      <w:start w:val="1"/>
      <w:numFmt w:val="upp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79B308D8"/>
    <w:multiLevelType w:val="hybridMultilevel"/>
    <w:tmpl w:val="7C00B1A8"/>
    <w:lvl w:ilvl="0" w:tplc="0409000F">
      <w:start w:val="7"/>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7">
    <w:nsid w:val="7A46101E"/>
    <w:multiLevelType w:val="hybridMultilevel"/>
    <w:tmpl w:val="96A828F2"/>
    <w:lvl w:ilvl="0" w:tplc="566E408C">
      <w:start w:val="1"/>
      <w:numFmt w:val="upperLetter"/>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8">
    <w:nsid w:val="7CEE0A1B"/>
    <w:multiLevelType w:val="hybridMultilevel"/>
    <w:tmpl w:val="223846BA"/>
    <w:lvl w:ilvl="0" w:tplc="C1580304">
      <w:start w:val="7"/>
      <w:numFmt w:val="decimal"/>
      <w:lvlText w:val="%1."/>
      <w:lvlJc w:val="left"/>
      <w:pPr>
        <w:tabs>
          <w:tab w:val="num" w:pos="2460"/>
        </w:tabs>
        <w:ind w:left="2460" w:hanging="1020"/>
      </w:pPr>
      <w:rPr>
        <w:rFonts w:cs="Times New Roman" w:hint="default"/>
        <w:b/>
      </w:rPr>
    </w:lvl>
    <w:lvl w:ilvl="1" w:tplc="04090019">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num w:numId="1">
    <w:abstractNumId w:val="12"/>
  </w:num>
  <w:num w:numId="2">
    <w:abstractNumId w:val="20"/>
  </w:num>
  <w:num w:numId="3">
    <w:abstractNumId w:val="23"/>
  </w:num>
  <w:num w:numId="4">
    <w:abstractNumId w:val="9"/>
  </w:num>
  <w:num w:numId="5">
    <w:abstractNumId w:val="2"/>
  </w:num>
  <w:num w:numId="6">
    <w:abstractNumId w:val="7"/>
  </w:num>
  <w:num w:numId="7">
    <w:abstractNumId w:val="11"/>
  </w:num>
  <w:num w:numId="8">
    <w:abstractNumId w:val="25"/>
  </w:num>
  <w:num w:numId="9">
    <w:abstractNumId w:val="17"/>
  </w:num>
  <w:num w:numId="10">
    <w:abstractNumId w:val="15"/>
  </w:num>
  <w:num w:numId="11">
    <w:abstractNumId w:val="3"/>
  </w:num>
  <w:num w:numId="12">
    <w:abstractNumId w:val="27"/>
  </w:num>
  <w:num w:numId="13">
    <w:abstractNumId w:val="18"/>
  </w:num>
  <w:num w:numId="14">
    <w:abstractNumId w:val="10"/>
  </w:num>
  <w:num w:numId="15">
    <w:abstractNumId w:val="13"/>
  </w:num>
  <w:num w:numId="16">
    <w:abstractNumId w:val="6"/>
  </w:num>
  <w:num w:numId="17">
    <w:abstractNumId w:val="19"/>
  </w:num>
  <w:num w:numId="18">
    <w:abstractNumId w:val="14"/>
  </w:num>
  <w:num w:numId="19">
    <w:abstractNumId w:val="4"/>
  </w:num>
  <w:num w:numId="20">
    <w:abstractNumId w:val="22"/>
  </w:num>
  <w:num w:numId="21">
    <w:abstractNumId w:val="24"/>
  </w:num>
  <w:num w:numId="22">
    <w:abstractNumId w:val="8"/>
  </w:num>
  <w:num w:numId="23">
    <w:abstractNumId w:val="5"/>
  </w:num>
  <w:num w:numId="24">
    <w:abstractNumId w:val="28"/>
  </w:num>
  <w:num w:numId="25">
    <w:abstractNumId w:val="26"/>
  </w:num>
  <w:num w:numId="26">
    <w:abstractNumId w:val="1"/>
  </w:num>
  <w:num w:numId="27">
    <w:abstractNumId w:val="0"/>
  </w:num>
  <w:num w:numId="28">
    <w:abstractNumId w:val="21"/>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3C3CD7"/>
    <w:rsid w:val="00013DE3"/>
    <w:rsid w:val="00014034"/>
    <w:rsid w:val="00014C38"/>
    <w:rsid w:val="00014C84"/>
    <w:rsid w:val="00017FEB"/>
    <w:rsid w:val="00023F28"/>
    <w:rsid w:val="00024874"/>
    <w:rsid w:val="000259CF"/>
    <w:rsid w:val="00032BE6"/>
    <w:rsid w:val="00036CFF"/>
    <w:rsid w:val="00046184"/>
    <w:rsid w:val="00046620"/>
    <w:rsid w:val="00056686"/>
    <w:rsid w:val="0005796A"/>
    <w:rsid w:val="00057A6D"/>
    <w:rsid w:val="00063BE5"/>
    <w:rsid w:val="0006742F"/>
    <w:rsid w:val="00067FF1"/>
    <w:rsid w:val="000726CA"/>
    <w:rsid w:val="00073AF8"/>
    <w:rsid w:val="00077D30"/>
    <w:rsid w:val="00090796"/>
    <w:rsid w:val="00091A05"/>
    <w:rsid w:val="00093395"/>
    <w:rsid w:val="000A41AB"/>
    <w:rsid w:val="000A44C8"/>
    <w:rsid w:val="000B4C52"/>
    <w:rsid w:val="000B57CD"/>
    <w:rsid w:val="000B64E8"/>
    <w:rsid w:val="000B6F4E"/>
    <w:rsid w:val="000C420E"/>
    <w:rsid w:val="000D0C33"/>
    <w:rsid w:val="000E0721"/>
    <w:rsid w:val="000E240F"/>
    <w:rsid w:val="000E2EF0"/>
    <w:rsid w:val="00101BA3"/>
    <w:rsid w:val="00103AEA"/>
    <w:rsid w:val="0011708F"/>
    <w:rsid w:val="001216B2"/>
    <w:rsid w:val="00122C1E"/>
    <w:rsid w:val="0012650D"/>
    <w:rsid w:val="001307EB"/>
    <w:rsid w:val="0013395E"/>
    <w:rsid w:val="00151D71"/>
    <w:rsid w:val="00173D76"/>
    <w:rsid w:val="0018369A"/>
    <w:rsid w:val="0019374E"/>
    <w:rsid w:val="001A0F8A"/>
    <w:rsid w:val="001A1B87"/>
    <w:rsid w:val="001A1D67"/>
    <w:rsid w:val="001B640A"/>
    <w:rsid w:val="001C37AA"/>
    <w:rsid w:val="001D1479"/>
    <w:rsid w:val="001D2A0E"/>
    <w:rsid w:val="001D59A4"/>
    <w:rsid w:val="001E0054"/>
    <w:rsid w:val="001E4E4D"/>
    <w:rsid w:val="001E6CB1"/>
    <w:rsid w:val="0020600A"/>
    <w:rsid w:val="00206FA7"/>
    <w:rsid w:val="0021063A"/>
    <w:rsid w:val="00211FE6"/>
    <w:rsid w:val="002129B2"/>
    <w:rsid w:val="00223116"/>
    <w:rsid w:val="00225DB5"/>
    <w:rsid w:val="002425BA"/>
    <w:rsid w:val="002441EB"/>
    <w:rsid w:val="00250B5E"/>
    <w:rsid w:val="00260B8D"/>
    <w:rsid w:val="002633F2"/>
    <w:rsid w:val="00281E0D"/>
    <w:rsid w:val="002847B7"/>
    <w:rsid w:val="00287C19"/>
    <w:rsid w:val="00290D32"/>
    <w:rsid w:val="00292FAD"/>
    <w:rsid w:val="002971ED"/>
    <w:rsid w:val="002A294B"/>
    <w:rsid w:val="002B11D5"/>
    <w:rsid w:val="002B16EB"/>
    <w:rsid w:val="002B597B"/>
    <w:rsid w:val="002D03A2"/>
    <w:rsid w:val="002D2D02"/>
    <w:rsid w:val="002D7932"/>
    <w:rsid w:val="002E289F"/>
    <w:rsid w:val="002E2F85"/>
    <w:rsid w:val="002E5F65"/>
    <w:rsid w:val="002F11E0"/>
    <w:rsid w:val="002F4C16"/>
    <w:rsid w:val="002F6041"/>
    <w:rsid w:val="00300C35"/>
    <w:rsid w:val="0030679F"/>
    <w:rsid w:val="00321209"/>
    <w:rsid w:val="0032164A"/>
    <w:rsid w:val="003246A2"/>
    <w:rsid w:val="0034164B"/>
    <w:rsid w:val="00360F6F"/>
    <w:rsid w:val="00367644"/>
    <w:rsid w:val="0037467E"/>
    <w:rsid w:val="00380E1E"/>
    <w:rsid w:val="003834E8"/>
    <w:rsid w:val="003845D5"/>
    <w:rsid w:val="003868F2"/>
    <w:rsid w:val="00387391"/>
    <w:rsid w:val="00390164"/>
    <w:rsid w:val="003901BD"/>
    <w:rsid w:val="003A48C6"/>
    <w:rsid w:val="003A787F"/>
    <w:rsid w:val="003A7ACF"/>
    <w:rsid w:val="003B17E6"/>
    <w:rsid w:val="003B45AE"/>
    <w:rsid w:val="003C3CD7"/>
    <w:rsid w:val="003D3E3F"/>
    <w:rsid w:val="003D5C7B"/>
    <w:rsid w:val="003D6FD8"/>
    <w:rsid w:val="003E4141"/>
    <w:rsid w:val="003E4739"/>
    <w:rsid w:val="003E5130"/>
    <w:rsid w:val="003E6B20"/>
    <w:rsid w:val="003F26A7"/>
    <w:rsid w:val="003F71B3"/>
    <w:rsid w:val="00412297"/>
    <w:rsid w:val="0042250A"/>
    <w:rsid w:val="0043042D"/>
    <w:rsid w:val="00432828"/>
    <w:rsid w:val="004343C8"/>
    <w:rsid w:val="004349C0"/>
    <w:rsid w:val="00440528"/>
    <w:rsid w:val="00441932"/>
    <w:rsid w:val="0044389B"/>
    <w:rsid w:val="00446309"/>
    <w:rsid w:val="00453881"/>
    <w:rsid w:val="00454FF6"/>
    <w:rsid w:val="004635C2"/>
    <w:rsid w:val="00467466"/>
    <w:rsid w:val="00467A8F"/>
    <w:rsid w:val="00472AD6"/>
    <w:rsid w:val="0047346D"/>
    <w:rsid w:val="004807C6"/>
    <w:rsid w:val="004840AA"/>
    <w:rsid w:val="004936FF"/>
    <w:rsid w:val="004A00FF"/>
    <w:rsid w:val="004A2F2B"/>
    <w:rsid w:val="004A6BBF"/>
    <w:rsid w:val="004A7FBB"/>
    <w:rsid w:val="004B1DDE"/>
    <w:rsid w:val="004B766F"/>
    <w:rsid w:val="004C0025"/>
    <w:rsid w:val="004D3689"/>
    <w:rsid w:val="004E7D73"/>
    <w:rsid w:val="00500045"/>
    <w:rsid w:val="005002AF"/>
    <w:rsid w:val="00501993"/>
    <w:rsid w:val="00506325"/>
    <w:rsid w:val="0050661A"/>
    <w:rsid w:val="005077E9"/>
    <w:rsid w:val="00513083"/>
    <w:rsid w:val="00514044"/>
    <w:rsid w:val="005142EF"/>
    <w:rsid w:val="0052526A"/>
    <w:rsid w:val="00526CF6"/>
    <w:rsid w:val="005272C1"/>
    <w:rsid w:val="005302DF"/>
    <w:rsid w:val="0053537F"/>
    <w:rsid w:val="005461DE"/>
    <w:rsid w:val="00554090"/>
    <w:rsid w:val="00556C16"/>
    <w:rsid w:val="00562769"/>
    <w:rsid w:val="00573327"/>
    <w:rsid w:val="00574645"/>
    <w:rsid w:val="0057635E"/>
    <w:rsid w:val="00590909"/>
    <w:rsid w:val="00594122"/>
    <w:rsid w:val="005B116E"/>
    <w:rsid w:val="005B5323"/>
    <w:rsid w:val="005C2B33"/>
    <w:rsid w:val="005E286D"/>
    <w:rsid w:val="005F0BEF"/>
    <w:rsid w:val="005F1881"/>
    <w:rsid w:val="00611414"/>
    <w:rsid w:val="00623D2C"/>
    <w:rsid w:val="00634CA1"/>
    <w:rsid w:val="00651902"/>
    <w:rsid w:val="00653639"/>
    <w:rsid w:val="00653D20"/>
    <w:rsid w:val="0065643C"/>
    <w:rsid w:val="006640B0"/>
    <w:rsid w:val="00664B14"/>
    <w:rsid w:val="0066597E"/>
    <w:rsid w:val="00665AE0"/>
    <w:rsid w:val="00670529"/>
    <w:rsid w:val="00685D60"/>
    <w:rsid w:val="0068755B"/>
    <w:rsid w:val="006A3267"/>
    <w:rsid w:val="006C5DEA"/>
    <w:rsid w:val="006D6A10"/>
    <w:rsid w:val="006E0159"/>
    <w:rsid w:val="006E2D81"/>
    <w:rsid w:val="006F324C"/>
    <w:rsid w:val="006F54EA"/>
    <w:rsid w:val="00702F46"/>
    <w:rsid w:val="00702FCD"/>
    <w:rsid w:val="007127B3"/>
    <w:rsid w:val="00716C54"/>
    <w:rsid w:val="00723F5C"/>
    <w:rsid w:val="007277BB"/>
    <w:rsid w:val="00730842"/>
    <w:rsid w:val="00746B84"/>
    <w:rsid w:val="00754D76"/>
    <w:rsid w:val="00774022"/>
    <w:rsid w:val="0079457A"/>
    <w:rsid w:val="007A0ECC"/>
    <w:rsid w:val="007A6F70"/>
    <w:rsid w:val="007B5313"/>
    <w:rsid w:val="007B6D41"/>
    <w:rsid w:val="007C638B"/>
    <w:rsid w:val="007E5400"/>
    <w:rsid w:val="007E67BF"/>
    <w:rsid w:val="007F4810"/>
    <w:rsid w:val="00804433"/>
    <w:rsid w:val="00811807"/>
    <w:rsid w:val="008142C1"/>
    <w:rsid w:val="00814AB8"/>
    <w:rsid w:val="00822756"/>
    <w:rsid w:val="0082441D"/>
    <w:rsid w:val="008266C6"/>
    <w:rsid w:val="00826B94"/>
    <w:rsid w:val="00836F6E"/>
    <w:rsid w:val="008372BF"/>
    <w:rsid w:val="008435C8"/>
    <w:rsid w:val="00855405"/>
    <w:rsid w:val="008605A8"/>
    <w:rsid w:val="00867C6A"/>
    <w:rsid w:val="00881AF8"/>
    <w:rsid w:val="0088708A"/>
    <w:rsid w:val="0089024E"/>
    <w:rsid w:val="00894AEE"/>
    <w:rsid w:val="008A0AF3"/>
    <w:rsid w:val="008A7343"/>
    <w:rsid w:val="008B08BD"/>
    <w:rsid w:val="008B090F"/>
    <w:rsid w:val="008B2FA3"/>
    <w:rsid w:val="008C7AE4"/>
    <w:rsid w:val="008D0576"/>
    <w:rsid w:val="008D79C2"/>
    <w:rsid w:val="008E01C4"/>
    <w:rsid w:val="008E0F02"/>
    <w:rsid w:val="008F4060"/>
    <w:rsid w:val="008F7B6F"/>
    <w:rsid w:val="00901C0A"/>
    <w:rsid w:val="00906986"/>
    <w:rsid w:val="00911768"/>
    <w:rsid w:val="00917BAF"/>
    <w:rsid w:val="00925B0B"/>
    <w:rsid w:val="00926EF5"/>
    <w:rsid w:val="009356CB"/>
    <w:rsid w:val="0093578B"/>
    <w:rsid w:val="00940310"/>
    <w:rsid w:val="00944CAB"/>
    <w:rsid w:val="009557F4"/>
    <w:rsid w:val="009643BC"/>
    <w:rsid w:val="00966869"/>
    <w:rsid w:val="00973289"/>
    <w:rsid w:val="0098682E"/>
    <w:rsid w:val="009910D0"/>
    <w:rsid w:val="0099311B"/>
    <w:rsid w:val="009A23D5"/>
    <w:rsid w:val="009A7D14"/>
    <w:rsid w:val="009B4FFE"/>
    <w:rsid w:val="009B6A3A"/>
    <w:rsid w:val="009C6330"/>
    <w:rsid w:val="009C6A37"/>
    <w:rsid w:val="009D508D"/>
    <w:rsid w:val="009F0D0F"/>
    <w:rsid w:val="009F2376"/>
    <w:rsid w:val="009F366D"/>
    <w:rsid w:val="009F38E8"/>
    <w:rsid w:val="009F4F35"/>
    <w:rsid w:val="00A11D75"/>
    <w:rsid w:val="00A15168"/>
    <w:rsid w:val="00A16D1D"/>
    <w:rsid w:val="00A2167D"/>
    <w:rsid w:val="00A450CA"/>
    <w:rsid w:val="00A51254"/>
    <w:rsid w:val="00A5689A"/>
    <w:rsid w:val="00A6033A"/>
    <w:rsid w:val="00A636F7"/>
    <w:rsid w:val="00A702D9"/>
    <w:rsid w:val="00A82DDC"/>
    <w:rsid w:val="00A84D85"/>
    <w:rsid w:val="00A87D38"/>
    <w:rsid w:val="00A9294E"/>
    <w:rsid w:val="00A94DD6"/>
    <w:rsid w:val="00A94DD7"/>
    <w:rsid w:val="00A97C7F"/>
    <w:rsid w:val="00AA4343"/>
    <w:rsid w:val="00AA4E6C"/>
    <w:rsid w:val="00AA7BAA"/>
    <w:rsid w:val="00AB4478"/>
    <w:rsid w:val="00AC33C4"/>
    <w:rsid w:val="00AE01DF"/>
    <w:rsid w:val="00AE30E8"/>
    <w:rsid w:val="00AE7CBC"/>
    <w:rsid w:val="00B1360F"/>
    <w:rsid w:val="00B32B3E"/>
    <w:rsid w:val="00B357E3"/>
    <w:rsid w:val="00B46AD8"/>
    <w:rsid w:val="00B52510"/>
    <w:rsid w:val="00B54541"/>
    <w:rsid w:val="00B60D0D"/>
    <w:rsid w:val="00B6221D"/>
    <w:rsid w:val="00B760F9"/>
    <w:rsid w:val="00B835AF"/>
    <w:rsid w:val="00B863F0"/>
    <w:rsid w:val="00B91266"/>
    <w:rsid w:val="00B9191D"/>
    <w:rsid w:val="00B95C5A"/>
    <w:rsid w:val="00BC02E1"/>
    <w:rsid w:val="00BD0776"/>
    <w:rsid w:val="00BD3ECE"/>
    <w:rsid w:val="00BE138B"/>
    <w:rsid w:val="00C013B8"/>
    <w:rsid w:val="00C06DFC"/>
    <w:rsid w:val="00C27432"/>
    <w:rsid w:val="00C32A94"/>
    <w:rsid w:val="00C443AF"/>
    <w:rsid w:val="00C5012D"/>
    <w:rsid w:val="00C675AA"/>
    <w:rsid w:val="00C73414"/>
    <w:rsid w:val="00C74785"/>
    <w:rsid w:val="00C85244"/>
    <w:rsid w:val="00C92C86"/>
    <w:rsid w:val="00C94694"/>
    <w:rsid w:val="00CA1EF8"/>
    <w:rsid w:val="00CA3306"/>
    <w:rsid w:val="00CB5ADD"/>
    <w:rsid w:val="00CC53E0"/>
    <w:rsid w:val="00CD209D"/>
    <w:rsid w:val="00CD5318"/>
    <w:rsid w:val="00CF77B5"/>
    <w:rsid w:val="00D0422E"/>
    <w:rsid w:val="00D057BE"/>
    <w:rsid w:val="00D14B64"/>
    <w:rsid w:val="00D16A92"/>
    <w:rsid w:val="00D16EE1"/>
    <w:rsid w:val="00D20C38"/>
    <w:rsid w:val="00D33961"/>
    <w:rsid w:val="00D351DD"/>
    <w:rsid w:val="00D415F9"/>
    <w:rsid w:val="00D45AE8"/>
    <w:rsid w:val="00D63066"/>
    <w:rsid w:val="00D76217"/>
    <w:rsid w:val="00D779E9"/>
    <w:rsid w:val="00D818C2"/>
    <w:rsid w:val="00D922B9"/>
    <w:rsid w:val="00DA256B"/>
    <w:rsid w:val="00DA425B"/>
    <w:rsid w:val="00DA436E"/>
    <w:rsid w:val="00DB2BD4"/>
    <w:rsid w:val="00DB473D"/>
    <w:rsid w:val="00DC32B6"/>
    <w:rsid w:val="00DE2520"/>
    <w:rsid w:val="00DE2A92"/>
    <w:rsid w:val="00DE7D34"/>
    <w:rsid w:val="00DF0D39"/>
    <w:rsid w:val="00E07668"/>
    <w:rsid w:val="00E15D94"/>
    <w:rsid w:val="00E20F85"/>
    <w:rsid w:val="00E20FF4"/>
    <w:rsid w:val="00E3505A"/>
    <w:rsid w:val="00E44F2F"/>
    <w:rsid w:val="00E64061"/>
    <w:rsid w:val="00E72E3D"/>
    <w:rsid w:val="00E77A4B"/>
    <w:rsid w:val="00E8261F"/>
    <w:rsid w:val="00E852BD"/>
    <w:rsid w:val="00E87F7A"/>
    <w:rsid w:val="00EA03A3"/>
    <w:rsid w:val="00EA28AD"/>
    <w:rsid w:val="00EA2CFD"/>
    <w:rsid w:val="00EA799C"/>
    <w:rsid w:val="00EB0221"/>
    <w:rsid w:val="00EE6908"/>
    <w:rsid w:val="00F00089"/>
    <w:rsid w:val="00F07252"/>
    <w:rsid w:val="00F14FB8"/>
    <w:rsid w:val="00F170D0"/>
    <w:rsid w:val="00F21DCB"/>
    <w:rsid w:val="00F337AA"/>
    <w:rsid w:val="00F41F64"/>
    <w:rsid w:val="00F45A7B"/>
    <w:rsid w:val="00F51A82"/>
    <w:rsid w:val="00F60236"/>
    <w:rsid w:val="00F60B37"/>
    <w:rsid w:val="00F8161F"/>
    <w:rsid w:val="00F81B5D"/>
    <w:rsid w:val="00F81EE4"/>
    <w:rsid w:val="00F838D8"/>
    <w:rsid w:val="00F83A8A"/>
    <w:rsid w:val="00FA09AE"/>
    <w:rsid w:val="00FA625C"/>
    <w:rsid w:val="00FC0093"/>
    <w:rsid w:val="00FC320A"/>
    <w:rsid w:val="00FC3A01"/>
    <w:rsid w:val="00FD3804"/>
    <w:rsid w:val="00FD57AB"/>
    <w:rsid w:val="00FE1480"/>
    <w:rsid w:val="00FE720D"/>
    <w:rsid w:val="00FF15E2"/>
    <w:rsid w:val="00FF70AF"/>
  </w:rsids>
  <m:mathPr>
    <m:mathFont m:val="Cambria Math"/>
    <m:brkBin m:val="before"/>
    <m:brkBinSub m:val="--"/>
    <m:smallFrac m:val="off"/>
    <m:dispDef/>
    <m:lMargin m:val="0"/>
    <m:rMargin m:val="0"/>
    <m:defJc m:val="centerGroup"/>
    <m:wrapIndent m:val="1440"/>
    <m:intLim m:val="subSup"/>
    <m:naryLim m:val="undOvr"/>
  </m:mathPr>
  <w:attachedSchema w:val="Bloomberg.OfficeTools.SmartTag"/>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41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9F4F35"/>
    <w:pPr>
      <w:ind w:left="720"/>
      <w:contextualSpacing/>
    </w:pPr>
  </w:style>
  <w:style w:type="paragraph" w:styleId="Header">
    <w:name w:val="header"/>
    <w:basedOn w:val="Normal"/>
    <w:link w:val="HeaderChar"/>
    <w:uiPriority w:val="99"/>
    <w:semiHidden/>
    <w:rsid w:val="00D45AE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D45AE8"/>
    <w:rPr>
      <w:rFonts w:cs="Times New Roman"/>
    </w:rPr>
  </w:style>
  <w:style w:type="paragraph" w:styleId="Footer">
    <w:name w:val="footer"/>
    <w:basedOn w:val="Normal"/>
    <w:link w:val="FooterChar"/>
    <w:uiPriority w:val="99"/>
    <w:rsid w:val="00D45AE8"/>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45AE8"/>
    <w:rPr>
      <w:rFonts w:cs="Times New Roman"/>
    </w:rPr>
  </w:style>
  <w:style w:type="paragraph" w:styleId="NormalWeb">
    <w:name w:val="Normal (Web)"/>
    <w:basedOn w:val="Normal"/>
    <w:uiPriority w:val="99"/>
    <w:rsid w:val="002B11D5"/>
    <w:pPr>
      <w:spacing w:before="100" w:beforeAutospacing="1" w:after="100" w:afterAutospacing="1" w:line="240" w:lineRule="auto"/>
    </w:pPr>
    <w:rPr>
      <w:rFonts w:ascii="Times New Roman" w:eastAsia="Times New Roman" w:hAnsi="Times New Roman"/>
      <w:sz w:val="24"/>
      <w:szCs w:val="24"/>
    </w:rPr>
  </w:style>
  <w:style w:type="paragraph" w:styleId="FootnoteText">
    <w:name w:val="footnote text"/>
    <w:basedOn w:val="Normal"/>
    <w:link w:val="FootnoteTextChar"/>
    <w:uiPriority w:val="99"/>
    <w:semiHidden/>
    <w:rsid w:val="002B11D5"/>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locked/>
    <w:rsid w:val="002B11D5"/>
    <w:rPr>
      <w:rFonts w:ascii="Times New Roman" w:hAnsi="Times New Roman" w:cs="Times New Roman"/>
      <w:sz w:val="20"/>
      <w:szCs w:val="20"/>
    </w:rPr>
  </w:style>
  <w:style w:type="character" w:styleId="FootnoteReference">
    <w:name w:val="footnote reference"/>
    <w:basedOn w:val="DefaultParagraphFont"/>
    <w:uiPriority w:val="99"/>
    <w:semiHidden/>
    <w:rsid w:val="002B11D5"/>
    <w:rPr>
      <w:rFonts w:cs="Times New Roman"/>
      <w:vertAlign w:val="superscript"/>
    </w:rPr>
  </w:style>
  <w:style w:type="paragraph" w:styleId="BalloonText">
    <w:name w:val="Balloon Text"/>
    <w:basedOn w:val="Normal"/>
    <w:link w:val="BalloonTextChar"/>
    <w:uiPriority w:val="99"/>
    <w:semiHidden/>
    <w:rsid w:val="00EA7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799C"/>
    <w:rPr>
      <w:rFonts w:ascii="Tahoma" w:hAnsi="Tahoma" w:cs="Tahoma"/>
      <w:sz w:val="16"/>
      <w:szCs w:val="16"/>
    </w:rPr>
  </w:style>
  <w:style w:type="paragraph" w:customStyle="1" w:styleId="Resume">
    <w:name w:val="Resume"/>
    <w:uiPriority w:val="99"/>
    <w:rsid w:val="009557F4"/>
    <w:pPr>
      <w:widowControl w:val="0"/>
      <w:tabs>
        <w:tab w:val="left" w:pos="-720"/>
        <w:tab w:val="left" w:pos="0"/>
        <w:tab w:val="left" w:pos="288"/>
        <w:tab w:val="left" w:pos="864"/>
        <w:tab w:val="left" w:pos="1440"/>
        <w:tab w:val="left" w:pos="2400"/>
        <w:tab w:val="left" w:pos="2688"/>
        <w:tab w:val="left" w:pos="3600"/>
      </w:tabs>
      <w:suppressAutoHyphens/>
      <w:snapToGrid w:val="0"/>
    </w:pPr>
    <w:rPr>
      <w:rFonts w:ascii="Times New Roman" w:eastAsia="Times New Roman" w:hAnsi="Times New Roman"/>
      <w:szCs w:val="20"/>
    </w:rPr>
  </w:style>
  <w:style w:type="character" w:styleId="Hyperlink">
    <w:name w:val="Hyperlink"/>
    <w:basedOn w:val="DefaultParagraphFont"/>
    <w:uiPriority w:val="99"/>
    <w:semiHidden/>
    <w:rsid w:val="004A7FBB"/>
    <w:rPr>
      <w:rFonts w:cs="Times New Roman"/>
      <w:color w:val="0000FF"/>
      <w:u w:val="single"/>
    </w:rPr>
  </w:style>
  <w:style w:type="character" w:styleId="Strong">
    <w:name w:val="Strong"/>
    <w:basedOn w:val="DefaultParagraphFont"/>
    <w:uiPriority w:val="99"/>
    <w:qFormat/>
    <w:rsid w:val="00836F6E"/>
    <w:rPr>
      <w:rFonts w:cs="Times New Roman"/>
      <w:b/>
      <w:bCs/>
    </w:rPr>
  </w:style>
</w:styles>
</file>

<file path=word/webSettings.xml><?xml version="1.0" encoding="utf-8"?>
<w:webSettings xmlns:r="http://schemas.openxmlformats.org/officeDocument/2006/relationships" xmlns:w="http://schemas.openxmlformats.org/wordprocessingml/2006/main">
  <w:divs>
    <w:div w:id="52186914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12322</Words>
  <Characters>60845</Characters>
  <Application>Microsoft Office Word</Application>
  <DocSecurity>0</DocSecurity>
  <Lines>507</Lines>
  <Paragraphs>146</Paragraphs>
  <ScaleCrop>false</ScaleCrop>
  <Company>Madison</Company>
  <LinksUpToDate>false</LinksUpToDate>
  <CharactersWithSpaces>73021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 FUNDAMENTAL AND FINE POINTS IN USES OF LIFE INSURANCE IN </dc:title>
  <dc:subject/>
  <dc:creator>Ghuh</dc:creator>
  <cp:keywords/>
  <dc:description/>
  <cp:lastModifiedBy>Lillian Bromley</cp:lastModifiedBy>
  <cp:revision>2</cp:revision>
  <cp:lastPrinted>2011-05-11T18:20:00Z</cp:lastPrinted>
  <dcterms:created xsi:type="dcterms:W3CDTF">2011-11-07T15:41:00Z</dcterms:created>
  <dcterms:modified xsi:type="dcterms:W3CDTF">2011-11-07T15:41:00Z</dcterms:modified>
</cp:coreProperties>
</file>